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04EFFE63" w:rsidR="00554276" w:rsidRDefault="008907A5" w:rsidP="009F4E19">
      <w:pPr>
        <w:pStyle w:val="Date"/>
      </w:pPr>
      <w:r>
        <w:t>6</w:t>
      </w:r>
      <w:r w:rsidR="00742317">
        <w:t>/</w:t>
      </w:r>
      <w:r w:rsidR="00613904">
        <w:t>0</w:t>
      </w:r>
      <w:r w:rsidR="00124A36">
        <w:t>4</w:t>
      </w:r>
      <w:r w:rsidR="00CA4C14">
        <w:t>/</w:t>
      </w:r>
      <w:r w:rsidR="00742317">
        <w:t>202</w:t>
      </w:r>
      <w:r w:rsidR="009524FB">
        <w:t>2</w:t>
      </w:r>
      <w:r w:rsidR="00423F81">
        <w:t xml:space="preserve"> </w:t>
      </w:r>
      <w:r w:rsidR="00637783">
        <w:t>20</w:t>
      </w:r>
      <w:r w:rsidR="00B94879">
        <w:t>:</w:t>
      </w:r>
      <w:r w:rsidR="000C6E74">
        <w:t>0</w:t>
      </w:r>
      <w:r w:rsidR="00634CB7">
        <w:t>2</w:t>
      </w:r>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000000" w:rsidP="00CB078E">
      <w:pPr>
        <w:pStyle w:val="ListNumber"/>
        <w:numPr>
          <w:ilvl w:val="0"/>
          <w:numId w:val="3"/>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14EF4D92"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w:t>
      </w:r>
      <w:proofErr w:type="spellStart"/>
      <w:r w:rsidR="00451571">
        <w:t>Beikoff</w:t>
      </w:r>
      <w:proofErr w:type="spellEnd"/>
      <w:r w:rsidR="00451571">
        <w:t xml:space="preserve">, </w:t>
      </w:r>
      <w:r w:rsidR="00904632">
        <w:t xml:space="preserve">Shannon Williams, Tim Rowse, </w:t>
      </w:r>
      <w:r w:rsidR="00E95BEA">
        <w:rPr>
          <w:rStyle w:val="markqtylg3vzj"/>
        </w:rPr>
        <w:t>Tom</w:t>
      </w:r>
      <w:r w:rsidR="00E95BEA">
        <w:t xml:space="preserve"> Hamlett</w:t>
      </w:r>
      <w:r>
        <w:t xml:space="preserve">, 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 Jamie Augustine</w:t>
      </w:r>
      <w:r w:rsidR="00E26338">
        <w:t>,</w:t>
      </w:r>
      <w:r w:rsidR="00E26338" w:rsidRPr="005C39E2">
        <w:t xml:space="preserve"> </w:t>
      </w:r>
      <w:r w:rsidR="00E26338" w:rsidRPr="007F6283">
        <w:t>Gavyn Croft</w:t>
      </w:r>
    </w:p>
    <w:p w14:paraId="14301701" w14:textId="77777777" w:rsidR="00926245" w:rsidRDefault="00000000" w:rsidP="00CB078E">
      <w:pPr>
        <w:pStyle w:val="ListNumber"/>
        <w:numPr>
          <w:ilvl w:val="0"/>
          <w:numId w:val="3"/>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37450860"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r w:rsidR="007F6283" w:rsidRPr="005C39E2">
        <w:t>Neville Blight</w:t>
      </w:r>
      <w:r w:rsidR="00B72A5B">
        <w:t>, Craig Twining, Les Sharpe</w:t>
      </w:r>
      <w:r w:rsidR="00E26338">
        <w:t>,</w:t>
      </w:r>
      <w:r w:rsidR="008907A5">
        <w:t xml:space="preserve"> Shane </w:t>
      </w:r>
      <w:proofErr w:type="spellStart"/>
      <w:r w:rsidR="008907A5">
        <w:t>Beikoff</w:t>
      </w:r>
      <w:proofErr w:type="spellEnd"/>
      <w:r w:rsidR="00E26338">
        <w:t xml:space="preserve"> </w:t>
      </w:r>
      <w:r w:rsidR="0094496E">
        <w:t xml:space="preserve">and </w:t>
      </w:r>
      <w:r w:rsidR="0094496E" w:rsidRPr="005C39E2">
        <w:t>Gavyn</w:t>
      </w:r>
      <w:r w:rsidR="00E26338" w:rsidRPr="007F6283">
        <w:t xml:space="preserve"> Croft</w:t>
      </w:r>
    </w:p>
    <w:p w14:paraId="66BC79E0" w14:textId="4A262EB8" w:rsidR="00D06B74" w:rsidRDefault="00F6523E" w:rsidP="00B70C30">
      <w:r>
        <w:t>Apologies</w:t>
      </w:r>
      <w:r w:rsidR="008907A5">
        <w:t>: N</w:t>
      </w:r>
      <w:r w:rsidR="005C39E2" w:rsidRPr="005C39E2">
        <w:t xml:space="preserve">ick </w:t>
      </w:r>
      <w:r w:rsidR="00E95BEA" w:rsidRPr="005C39E2">
        <w:t>Scaife</w:t>
      </w:r>
    </w:p>
    <w:p w14:paraId="17C386F8" w14:textId="39F67B0E" w:rsidR="00B9075D" w:rsidRPr="00124A36" w:rsidRDefault="00B9075D" w:rsidP="00CB078E">
      <w:pPr>
        <w:numPr>
          <w:ilvl w:val="0"/>
          <w:numId w:val="2"/>
        </w:numPr>
        <w:rPr>
          <w:lang w:val="en-AU"/>
        </w:rPr>
      </w:pPr>
      <w:r w:rsidRPr="00124A36">
        <w:rPr>
          <w:rFonts w:eastAsiaTheme="majorEastAsia"/>
          <w:b/>
        </w:rPr>
        <w:t xml:space="preserve">Approval of minutes from last meeting. </w:t>
      </w:r>
      <w:r w:rsidR="00124A36" w:rsidRPr="00124A36">
        <w:rPr>
          <w:lang w:val="en-AU"/>
        </w:rPr>
        <w:t>.</w:t>
      </w:r>
      <w:r w:rsidR="00124A36" w:rsidRPr="00124A36">
        <w:rPr>
          <w:lang w:val="en-AU"/>
        </w:rPr>
        <w:tab/>
        <w:t xml:space="preserve">Approved </w:t>
      </w:r>
      <w:r w:rsidR="00404DB2">
        <w:rPr>
          <w:lang w:val="en-AU"/>
        </w:rPr>
        <w:t>Les Sharpe</w:t>
      </w:r>
      <w:r w:rsidR="00124A36" w:rsidRPr="00124A36">
        <w:rPr>
          <w:lang w:val="en-AU"/>
        </w:rPr>
        <w:t xml:space="preserve">, Second </w:t>
      </w:r>
      <w:r w:rsidR="00404DB2">
        <w:rPr>
          <w:lang w:val="en-AU"/>
        </w:rPr>
        <w:t>Shannon Williams</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6DBBEB48" w14:textId="33F70658" w:rsidR="00CB4AAB" w:rsidRDefault="00404DB2" w:rsidP="00FF4B5C">
      <w:pPr>
        <w:rPr>
          <w:rFonts w:cstheme="minorHAnsi"/>
          <w:bCs/>
          <w:lang w:val="en-AU"/>
        </w:rPr>
      </w:pPr>
      <w:r>
        <w:rPr>
          <w:rFonts w:cstheme="minorHAnsi"/>
          <w:bCs/>
        </w:rPr>
        <w:t>Sway Bars</w:t>
      </w:r>
      <w:r w:rsidR="003E67E9">
        <w:rPr>
          <w:rFonts w:cstheme="minorHAnsi"/>
          <w:bCs/>
          <w:lang w:val="en-AU"/>
        </w:rPr>
        <w:t xml:space="preserve">. </w:t>
      </w:r>
      <w:r>
        <w:rPr>
          <w:rFonts w:cstheme="minorHAnsi"/>
          <w:bCs/>
          <w:lang w:val="en-AU"/>
        </w:rPr>
        <w:t>Victoria Delegate to forward inf</w:t>
      </w:r>
      <w:r w:rsidR="00DC47B9">
        <w:rPr>
          <w:rFonts w:cstheme="minorHAnsi"/>
          <w:bCs/>
          <w:lang w:val="en-AU"/>
        </w:rPr>
        <w:t>ormation</w:t>
      </w:r>
      <w:r>
        <w:rPr>
          <w:rFonts w:cstheme="minorHAnsi"/>
          <w:bCs/>
          <w:lang w:val="en-AU"/>
        </w:rPr>
        <w:t xml:space="preserve"> on alternative off the shelf Sway Bar options to Secretary via email. </w:t>
      </w:r>
    </w:p>
    <w:p w14:paraId="1A5D6C8E" w14:textId="60DD7C47" w:rsidR="00404DB2" w:rsidRDefault="00404DB2" w:rsidP="00FF4B5C">
      <w:pPr>
        <w:rPr>
          <w:rFonts w:cstheme="minorHAnsi"/>
          <w:bCs/>
          <w:lang w:val="en-AU"/>
        </w:rPr>
      </w:pPr>
      <w:r w:rsidRPr="00404DB2">
        <w:rPr>
          <w:rFonts w:cstheme="minorHAnsi"/>
          <w:bCs/>
        </w:rPr>
        <w:t>Gearbox Forks CAD Model</w:t>
      </w:r>
      <w:r>
        <w:rPr>
          <w:rFonts w:cstheme="minorHAnsi"/>
          <w:bCs/>
        </w:rPr>
        <w:t xml:space="preserve">. </w:t>
      </w:r>
      <w:r w:rsidR="00072199">
        <w:rPr>
          <w:rFonts w:cstheme="minorHAnsi"/>
          <w:bCs/>
        </w:rPr>
        <w:t xml:space="preserve">Secretary </w:t>
      </w:r>
      <w:r w:rsidR="00072199" w:rsidRPr="00072199">
        <w:rPr>
          <w:rFonts w:cstheme="minorHAnsi"/>
          <w:bCs/>
          <w:lang w:val="en-AU"/>
        </w:rPr>
        <w:t xml:space="preserve">reported that after </w:t>
      </w:r>
      <w:r w:rsidR="0097489E">
        <w:rPr>
          <w:rFonts w:cstheme="minorHAnsi"/>
          <w:bCs/>
          <w:lang w:val="en-AU"/>
        </w:rPr>
        <w:t xml:space="preserve">approaching </w:t>
      </w:r>
      <w:r w:rsidR="00072199" w:rsidRPr="00072199">
        <w:rPr>
          <w:rFonts w:cstheme="minorHAnsi"/>
          <w:bCs/>
          <w:lang w:val="en-AU"/>
        </w:rPr>
        <w:t xml:space="preserve">several contacts </w:t>
      </w:r>
      <w:r w:rsidR="0097489E">
        <w:rPr>
          <w:rFonts w:cstheme="minorHAnsi"/>
          <w:bCs/>
          <w:lang w:val="en-AU"/>
        </w:rPr>
        <w:t>that it was n</w:t>
      </w:r>
      <w:r w:rsidR="00587A94">
        <w:rPr>
          <w:rFonts w:cstheme="minorHAnsi"/>
          <w:bCs/>
          <w:lang w:val="en-AU"/>
        </w:rPr>
        <w:t>o</w:t>
      </w:r>
      <w:r w:rsidR="0097489E">
        <w:rPr>
          <w:rFonts w:cstheme="minorHAnsi"/>
          <w:bCs/>
          <w:lang w:val="en-AU"/>
        </w:rPr>
        <w:t xml:space="preserve">t </w:t>
      </w:r>
      <w:r w:rsidR="00072199" w:rsidRPr="00072199">
        <w:rPr>
          <w:rFonts w:cstheme="minorHAnsi"/>
          <w:bCs/>
          <w:lang w:val="en-AU"/>
        </w:rPr>
        <w:t xml:space="preserve">able to source </w:t>
      </w:r>
      <w:r w:rsidR="0097489E">
        <w:rPr>
          <w:rFonts w:cstheme="minorHAnsi"/>
          <w:bCs/>
          <w:lang w:val="en-AU"/>
        </w:rPr>
        <w:t xml:space="preserve">a </w:t>
      </w:r>
      <w:r w:rsidR="00072199" w:rsidRPr="00072199">
        <w:rPr>
          <w:rFonts w:cstheme="minorHAnsi"/>
          <w:bCs/>
          <w:lang w:val="en-AU"/>
        </w:rPr>
        <w:t xml:space="preserve">new </w:t>
      </w:r>
      <w:r w:rsidR="0097489E">
        <w:rPr>
          <w:rFonts w:cstheme="minorHAnsi"/>
          <w:bCs/>
          <w:lang w:val="en-AU"/>
        </w:rPr>
        <w:t>3</w:t>
      </w:r>
      <w:r w:rsidR="0097489E" w:rsidRPr="0097489E">
        <w:rPr>
          <w:rFonts w:cstheme="minorHAnsi"/>
          <w:bCs/>
          <w:vertAlign w:val="superscript"/>
          <w:lang w:val="en-AU"/>
        </w:rPr>
        <w:t>rd</w:t>
      </w:r>
      <w:r w:rsidR="0097489E">
        <w:rPr>
          <w:rFonts w:cstheme="minorHAnsi"/>
          <w:bCs/>
          <w:lang w:val="en-AU"/>
        </w:rPr>
        <w:t xml:space="preserve"> / 4</w:t>
      </w:r>
      <w:r w:rsidR="00587A94" w:rsidRPr="00587A94">
        <w:rPr>
          <w:rFonts w:cstheme="minorHAnsi"/>
          <w:bCs/>
          <w:vertAlign w:val="superscript"/>
          <w:lang w:val="en-AU"/>
        </w:rPr>
        <w:t>th</w:t>
      </w:r>
      <w:r w:rsidR="00587A94">
        <w:rPr>
          <w:rFonts w:cstheme="minorHAnsi"/>
          <w:bCs/>
          <w:lang w:val="en-AU"/>
        </w:rPr>
        <w:t xml:space="preserve"> G</w:t>
      </w:r>
      <w:r w:rsidR="00072199" w:rsidRPr="00072199">
        <w:rPr>
          <w:rFonts w:cstheme="minorHAnsi"/>
          <w:bCs/>
          <w:lang w:val="en-AU"/>
        </w:rPr>
        <w:t>earbox fork</w:t>
      </w:r>
      <w:r w:rsidR="00072199">
        <w:rPr>
          <w:rFonts w:cstheme="minorHAnsi"/>
          <w:bCs/>
          <w:lang w:val="en-AU"/>
        </w:rPr>
        <w:t xml:space="preserve">. </w:t>
      </w:r>
      <w:r w:rsidR="0097489E">
        <w:rPr>
          <w:rFonts w:cstheme="minorHAnsi"/>
          <w:bCs/>
          <w:lang w:val="en-AU"/>
        </w:rPr>
        <w:t xml:space="preserve">Secretary </w:t>
      </w:r>
      <w:r w:rsidR="00587A94">
        <w:rPr>
          <w:rFonts w:cstheme="minorHAnsi"/>
          <w:bCs/>
          <w:lang w:val="en-AU"/>
        </w:rPr>
        <w:t>made</w:t>
      </w:r>
      <w:r w:rsidR="0097489E">
        <w:rPr>
          <w:rFonts w:cstheme="minorHAnsi"/>
          <w:bCs/>
          <w:lang w:val="en-AU"/>
        </w:rPr>
        <w:t xml:space="preserve"> a </w:t>
      </w:r>
      <w:r w:rsidR="00072199" w:rsidRPr="00072199">
        <w:rPr>
          <w:rFonts w:cstheme="minorHAnsi"/>
          <w:bCs/>
          <w:lang w:val="en-AU"/>
        </w:rPr>
        <w:t>phone conversation with a Hyundai dealer it was discovered that this part is now referenced in the</w:t>
      </w:r>
      <w:r w:rsidR="0097489E">
        <w:rPr>
          <w:rFonts w:cstheme="minorHAnsi"/>
          <w:bCs/>
          <w:lang w:val="en-AU"/>
        </w:rPr>
        <w:t xml:space="preserve"> Hyundai</w:t>
      </w:r>
      <w:r w:rsidR="00072199" w:rsidRPr="00072199">
        <w:rPr>
          <w:rFonts w:cstheme="minorHAnsi"/>
          <w:bCs/>
          <w:lang w:val="en-AU"/>
        </w:rPr>
        <w:t xml:space="preserve"> catalogue has been no longer available</w:t>
      </w:r>
      <w:r w:rsidR="00072199">
        <w:rPr>
          <w:rFonts w:cstheme="minorHAnsi"/>
          <w:bCs/>
          <w:lang w:val="en-AU"/>
        </w:rPr>
        <w:t xml:space="preserve">. </w:t>
      </w:r>
      <w:r w:rsidR="0097489E">
        <w:rPr>
          <w:rFonts w:cstheme="minorHAnsi"/>
          <w:bCs/>
          <w:lang w:val="en-AU"/>
        </w:rPr>
        <w:t>P</w:t>
      </w:r>
      <w:r w:rsidR="00072199" w:rsidRPr="00072199">
        <w:rPr>
          <w:rFonts w:cstheme="minorHAnsi"/>
          <w:bCs/>
          <w:lang w:val="en-AU"/>
        </w:rPr>
        <w:t>resident asked the group that if anyone can source one</w:t>
      </w:r>
      <w:r w:rsidR="0097489E">
        <w:rPr>
          <w:rFonts w:cstheme="minorHAnsi"/>
          <w:bCs/>
          <w:lang w:val="en-AU"/>
        </w:rPr>
        <w:t>,</w:t>
      </w:r>
      <w:r w:rsidR="00072199" w:rsidRPr="00072199">
        <w:rPr>
          <w:rFonts w:cstheme="minorHAnsi"/>
          <w:bCs/>
          <w:lang w:val="en-AU"/>
        </w:rPr>
        <w:t xml:space="preserve"> please inform the group</w:t>
      </w:r>
      <w:r w:rsidR="00072199">
        <w:rPr>
          <w:rFonts w:cstheme="minorHAnsi"/>
          <w:bCs/>
          <w:lang w:val="en-AU"/>
        </w:rPr>
        <w:t>.</w:t>
      </w:r>
    </w:p>
    <w:p w14:paraId="0C26A651" w14:textId="5ABB3019" w:rsidR="007E4C36" w:rsidRPr="007E4C36" w:rsidRDefault="007E4C36" w:rsidP="007E4C36">
      <w:pPr>
        <w:rPr>
          <w:rFonts w:cstheme="minorHAnsi"/>
          <w:bCs/>
        </w:rPr>
      </w:pPr>
      <w:r w:rsidRPr="007E4C36">
        <w:rPr>
          <w:rFonts w:cstheme="minorHAnsi"/>
          <w:bCs/>
        </w:rPr>
        <w:t>Spring sizes and specifications</w:t>
      </w:r>
      <w:r w:rsidR="00E95305">
        <w:rPr>
          <w:rFonts w:cstheme="minorHAnsi"/>
          <w:bCs/>
        </w:rPr>
        <w:t xml:space="preserve">: </w:t>
      </w:r>
      <w:r w:rsidR="008A27A5">
        <w:rPr>
          <w:rFonts w:cstheme="minorHAnsi"/>
          <w:bCs/>
        </w:rPr>
        <w:t xml:space="preserve">Crow Cams no longer supply valve spring as per part number in Technical Guide. </w:t>
      </w:r>
      <w:r w:rsidR="008A27A5" w:rsidRPr="008A27A5">
        <w:rPr>
          <w:rFonts w:cstheme="minorHAnsi"/>
          <w:bCs/>
          <w:lang w:val="en-AU"/>
        </w:rPr>
        <w:t>Alternative springs will need to be</w:t>
      </w:r>
      <w:r w:rsidR="008A27A5">
        <w:rPr>
          <w:rFonts w:cstheme="minorHAnsi"/>
          <w:bCs/>
          <w:lang w:val="en-AU"/>
        </w:rPr>
        <w:t xml:space="preserve"> identified do that dimensions and specifications can be confirmed.  </w:t>
      </w:r>
    </w:p>
    <w:p w14:paraId="155FDB1C" w14:textId="22A9FCB4" w:rsidR="00072199" w:rsidRPr="00CB4AAB" w:rsidRDefault="007E4C36" w:rsidP="007E4C36">
      <w:pPr>
        <w:rPr>
          <w:rFonts w:cstheme="minorHAnsi"/>
          <w:bCs/>
        </w:rPr>
      </w:pPr>
      <w:r w:rsidRPr="007E4C36">
        <w:rPr>
          <w:rFonts w:cstheme="minorHAnsi"/>
          <w:bCs/>
        </w:rPr>
        <w:t>Expression of Interest form for Bathurst</w:t>
      </w:r>
      <w:r w:rsidR="008A27A5">
        <w:rPr>
          <w:rFonts w:cstheme="minorHAnsi"/>
          <w:bCs/>
        </w:rPr>
        <w:t xml:space="preserve">: </w:t>
      </w:r>
      <w:r w:rsidR="008A27A5" w:rsidRPr="008A27A5">
        <w:rPr>
          <w:rFonts w:cstheme="minorHAnsi"/>
          <w:bCs/>
          <w:lang w:val="en-AU"/>
        </w:rPr>
        <w:t>Toyota 86</w:t>
      </w:r>
      <w:r w:rsidR="008A27A5">
        <w:rPr>
          <w:rFonts w:cstheme="minorHAnsi"/>
          <w:bCs/>
          <w:lang w:val="en-AU"/>
        </w:rPr>
        <w:t xml:space="preserve">s </w:t>
      </w:r>
      <w:r w:rsidR="008A27A5" w:rsidRPr="008A27A5">
        <w:rPr>
          <w:rFonts w:cstheme="minorHAnsi"/>
          <w:bCs/>
          <w:lang w:val="en-AU"/>
        </w:rPr>
        <w:t xml:space="preserve">have taken the spot allocated to </w:t>
      </w:r>
      <w:r w:rsidR="008A27A5">
        <w:rPr>
          <w:rFonts w:cstheme="minorHAnsi"/>
          <w:bCs/>
          <w:lang w:val="en-AU"/>
        </w:rPr>
        <w:t>E</w:t>
      </w:r>
      <w:r w:rsidR="008A27A5" w:rsidRPr="008A27A5">
        <w:rPr>
          <w:rFonts w:cstheme="minorHAnsi"/>
          <w:bCs/>
          <w:lang w:val="en-AU"/>
        </w:rPr>
        <w:t>xcels for the Bathurst 12 hour event</w:t>
      </w:r>
      <w:r w:rsidR="008A27A5">
        <w:rPr>
          <w:rFonts w:cstheme="minorHAnsi"/>
          <w:bCs/>
          <w:lang w:val="en-AU"/>
        </w:rPr>
        <w:t xml:space="preserve">. </w:t>
      </w:r>
      <w:r w:rsidR="00FF3F1E" w:rsidRPr="00FF3F1E">
        <w:rPr>
          <w:rFonts w:cstheme="minorHAnsi"/>
          <w:bCs/>
          <w:lang w:val="en-AU"/>
        </w:rPr>
        <w:t>The form was completed in delegates and secretaries but was now null and void due to the situation at the 12 hour</w:t>
      </w:r>
      <w:r w:rsidR="00FF3F1E">
        <w:rPr>
          <w:rFonts w:cstheme="minorHAnsi"/>
          <w:bCs/>
          <w:lang w:val="en-AU"/>
        </w:rPr>
        <w:t xml:space="preserve">. </w:t>
      </w:r>
      <w:r w:rsidR="00FF3F1E" w:rsidRPr="00FF3F1E">
        <w:rPr>
          <w:rFonts w:cstheme="minorHAnsi"/>
          <w:bCs/>
          <w:lang w:val="en-AU"/>
        </w:rPr>
        <w:t xml:space="preserve">Victorian </w:t>
      </w:r>
      <w:r w:rsidR="00FF3F1E">
        <w:rPr>
          <w:rFonts w:cstheme="minorHAnsi"/>
          <w:bCs/>
          <w:lang w:val="en-AU"/>
        </w:rPr>
        <w:t>P</w:t>
      </w:r>
      <w:r w:rsidR="00FF3F1E" w:rsidRPr="00FF3F1E">
        <w:rPr>
          <w:rFonts w:cstheme="minorHAnsi"/>
          <w:bCs/>
          <w:lang w:val="en-AU"/>
        </w:rPr>
        <w:t xml:space="preserve">resident also advised the group that </w:t>
      </w:r>
      <w:r w:rsidR="00FF3F1E">
        <w:rPr>
          <w:rFonts w:cstheme="minorHAnsi"/>
          <w:bCs/>
          <w:lang w:val="en-AU"/>
        </w:rPr>
        <w:t>E</w:t>
      </w:r>
      <w:r w:rsidR="00FF3F1E" w:rsidRPr="00FF3F1E">
        <w:rPr>
          <w:rFonts w:cstheme="minorHAnsi"/>
          <w:bCs/>
          <w:lang w:val="en-AU"/>
        </w:rPr>
        <w:t>x</w:t>
      </w:r>
      <w:r w:rsidR="00FF3F1E">
        <w:rPr>
          <w:rFonts w:cstheme="minorHAnsi"/>
          <w:bCs/>
          <w:lang w:val="en-AU"/>
        </w:rPr>
        <w:t>c</w:t>
      </w:r>
      <w:r w:rsidR="00FF3F1E" w:rsidRPr="00FF3F1E">
        <w:rPr>
          <w:rFonts w:cstheme="minorHAnsi"/>
          <w:bCs/>
          <w:lang w:val="en-AU"/>
        </w:rPr>
        <w:t xml:space="preserve">els did not get the normal invite to the </w:t>
      </w:r>
      <w:r w:rsidR="00FF3F1E">
        <w:rPr>
          <w:rFonts w:cstheme="minorHAnsi"/>
          <w:bCs/>
          <w:lang w:val="en-AU"/>
        </w:rPr>
        <w:t>Wi</w:t>
      </w:r>
      <w:r w:rsidR="00FF3F1E" w:rsidRPr="00FF3F1E">
        <w:rPr>
          <w:rFonts w:cstheme="minorHAnsi"/>
          <w:bCs/>
          <w:lang w:val="en-AU"/>
        </w:rPr>
        <w:t>nt</w:t>
      </w:r>
      <w:r w:rsidR="00FF3F1E">
        <w:rPr>
          <w:rFonts w:cstheme="minorHAnsi"/>
          <w:bCs/>
          <w:lang w:val="en-AU"/>
        </w:rPr>
        <w:t>o</w:t>
      </w:r>
      <w:r w:rsidR="00FF3F1E" w:rsidRPr="00FF3F1E">
        <w:rPr>
          <w:rFonts w:cstheme="minorHAnsi"/>
          <w:bCs/>
          <w:lang w:val="en-AU"/>
        </w:rPr>
        <w:t>n supercars event</w:t>
      </w:r>
      <w:r w:rsidR="00FF3F1E">
        <w:rPr>
          <w:rFonts w:cstheme="minorHAnsi"/>
          <w:bCs/>
          <w:lang w:val="en-AU"/>
        </w:rPr>
        <w:t xml:space="preserve">, </w:t>
      </w:r>
      <w:r w:rsidR="00FF3F1E" w:rsidRPr="00FF3F1E">
        <w:rPr>
          <w:rFonts w:cstheme="minorHAnsi"/>
          <w:bCs/>
          <w:lang w:val="en-AU"/>
        </w:rPr>
        <w:t>Porsches had taken the place</w:t>
      </w:r>
      <w:r w:rsidR="00FF3F1E">
        <w:rPr>
          <w:rFonts w:cstheme="minorHAnsi"/>
          <w:bCs/>
          <w:lang w:val="en-AU"/>
        </w:rPr>
        <w:t xml:space="preserve">. </w:t>
      </w:r>
    </w:p>
    <w:p w14:paraId="51BC0FA8" w14:textId="77777777" w:rsidR="00CD78A0" w:rsidRDefault="00CD78A0">
      <w:r>
        <w:br w:type="page"/>
      </w:r>
    </w:p>
    <w:p w14:paraId="53C238FB" w14:textId="77777777" w:rsidR="00CB4AAB" w:rsidRPr="00892055" w:rsidRDefault="00CB4AAB" w:rsidP="00B70C30"/>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125CCDB1" w14:textId="0C37F312" w:rsidR="003B59E1" w:rsidRDefault="00CD78A0" w:rsidP="00B70C30">
      <w:pPr>
        <w:pStyle w:val="ListNumber"/>
        <w:numPr>
          <w:ilvl w:val="0"/>
          <w:numId w:val="0"/>
        </w:numPr>
        <w:ind w:left="173"/>
        <w:rPr>
          <w:b w:val="0"/>
          <w:bCs/>
        </w:rPr>
      </w:pPr>
      <w:r w:rsidRPr="00CD78A0">
        <w:rPr>
          <w:b w:val="0"/>
          <w:bCs/>
          <w:lang w:val="en-AU"/>
        </w:rPr>
        <w:t xml:space="preserve">President </w:t>
      </w:r>
      <w:r w:rsidR="005E5763">
        <w:rPr>
          <w:b w:val="0"/>
          <w:bCs/>
          <w:lang w:val="en-AU"/>
        </w:rPr>
        <w:t xml:space="preserve">Spoke </w:t>
      </w:r>
      <w:r w:rsidR="009C741A">
        <w:rPr>
          <w:b w:val="0"/>
          <w:bCs/>
          <w:lang w:val="en-AU"/>
        </w:rPr>
        <w:t>previously</w:t>
      </w:r>
      <w:r w:rsidR="005E5763">
        <w:rPr>
          <w:b w:val="0"/>
          <w:bCs/>
          <w:lang w:val="en-AU"/>
        </w:rPr>
        <w:t xml:space="preserve"> about the Bathurst 12 Hour situation and will try to con</w:t>
      </w:r>
      <w:r w:rsidR="009C741A">
        <w:rPr>
          <w:b w:val="0"/>
          <w:bCs/>
          <w:lang w:val="en-AU"/>
        </w:rPr>
        <w:t>tact</w:t>
      </w:r>
      <w:r w:rsidR="005E5763">
        <w:rPr>
          <w:b w:val="0"/>
          <w:bCs/>
          <w:lang w:val="en-AU"/>
        </w:rPr>
        <w:t xml:space="preserve"> MA </w:t>
      </w:r>
      <w:r w:rsidR="009C741A">
        <w:rPr>
          <w:b w:val="0"/>
          <w:bCs/>
          <w:lang w:val="en-AU"/>
        </w:rPr>
        <w:t xml:space="preserve">and chat </w:t>
      </w:r>
      <w:r w:rsidR="00DC47B9">
        <w:rPr>
          <w:b w:val="0"/>
          <w:bCs/>
          <w:lang w:val="en-AU"/>
        </w:rPr>
        <w:t xml:space="preserve">about the </w:t>
      </w:r>
      <w:r w:rsidR="009C741A">
        <w:rPr>
          <w:b w:val="0"/>
          <w:bCs/>
          <w:lang w:val="en-AU"/>
        </w:rPr>
        <w:t>situation</w:t>
      </w:r>
      <w:r w:rsidR="006A1AE9" w:rsidRPr="00B70C30">
        <w:rPr>
          <w:b w:val="0"/>
          <w:bCs/>
        </w:rPr>
        <w:t>.</w:t>
      </w:r>
      <w:r w:rsidR="009C741A">
        <w:rPr>
          <w:b w:val="0"/>
          <w:bCs/>
        </w:rPr>
        <w:t xml:space="preserve"> </w:t>
      </w:r>
      <w:r w:rsidR="009C741A">
        <w:rPr>
          <w:b w:val="0"/>
          <w:bCs/>
          <w:lang w:val="en-AU"/>
        </w:rPr>
        <w:t>R</w:t>
      </w:r>
      <w:r w:rsidR="009C741A" w:rsidRPr="009C741A">
        <w:rPr>
          <w:b w:val="0"/>
          <w:bCs/>
          <w:lang w:val="en-AU"/>
        </w:rPr>
        <w:t>eiterated</w:t>
      </w:r>
      <w:r w:rsidR="00DC47B9">
        <w:rPr>
          <w:b w:val="0"/>
          <w:bCs/>
          <w:lang w:val="en-AU"/>
        </w:rPr>
        <w:t xml:space="preserve"> </w:t>
      </w:r>
      <w:r w:rsidR="009C741A">
        <w:rPr>
          <w:b w:val="0"/>
          <w:bCs/>
        </w:rPr>
        <w:t xml:space="preserve">the current </w:t>
      </w:r>
      <w:r w:rsidR="009C741A" w:rsidRPr="009C741A">
        <w:rPr>
          <w:b w:val="0"/>
          <w:bCs/>
          <w:lang w:val="en-AU"/>
        </w:rPr>
        <w:t xml:space="preserve">situation with </w:t>
      </w:r>
      <w:r w:rsidR="009C741A">
        <w:rPr>
          <w:b w:val="0"/>
          <w:bCs/>
          <w:lang w:val="en-AU"/>
        </w:rPr>
        <w:t>Supas</w:t>
      </w:r>
      <w:r w:rsidR="009C741A" w:rsidRPr="009C741A">
        <w:rPr>
          <w:b w:val="0"/>
          <w:bCs/>
          <w:lang w:val="en-AU"/>
        </w:rPr>
        <w:t>hock</w:t>
      </w:r>
      <w:r w:rsidR="009C741A">
        <w:rPr>
          <w:b w:val="0"/>
          <w:bCs/>
          <w:lang w:val="en-AU"/>
        </w:rPr>
        <w:t xml:space="preserve">. </w:t>
      </w: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128F291C" w14:textId="15E67031" w:rsidR="007E14D0" w:rsidRDefault="007E14D0" w:rsidP="007E14D0">
      <w:pPr>
        <w:ind w:left="0"/>
        <w:rPr>
          <w:lang w:val="en-AU"/>
        </w:rPr>
      </w:pPr>
      <w:r w:rsidRPr="007E14D0">
        <w:rPr>
          <w:lang w:val="en-AU"/>
        </w:rPr>
        <w:t xml:space="preserve">Secretary </w:t>
      </w:r>
      <w:r w:rsidR="009C741A" w:rsidRPr="009C741A">
        <w:rPr>
          <w:lang w:val="en-AU"/>
        </w:rPr>
        <w:t>received</w:t>
      </w:r>
      <w:r w:rsidR="009C741A">
        <w:rPr>
          <w:lang w:val="en-AU"/>
        </w:rPr>
        <w:t xml:space="preserve"> emails from Victoria, </w:t>
      </w:r>
      <w:r w:rsidR="009C741A" w:rsidRPr="009C741A">
        <w:rPr>
          <w:lang w:val="en-AU"/>
        </w:rPr>
        <w:t>Q</w:t>
      </w:r>
      <w:r w:rsidR="009C741A">
        <w:rPr>
          <w:lang w:val="en-AU"/>
        </w:rPr>
        <w:t xml:space="preserve">ueensland and </w:t>
      </w:r>
      <w:r w:rsidR="009C741A" w:rsidRPr="009C741A">
        <w:rPr>
          <w:lang w:val="en-AU"/>
        </w:rPr>
        <w:t>W</w:t>
      </w:r>
      <w:r w:rsidR="009C741A">
        <w:rPr>
          <w:lang w:val="en-AU"/>
        </w:rPr>
        <w:t xml:space="preserve">estern </w:t>
      </w:r>
      <w:r w:rsidR="009C741A" w:rsidRPr="009C741A">
        <w:rPr>
          <w:lang w:val="en-AU"/>
        </w:rPr>
        <w:t>A</w:t>
      </w:r>
      <w:r w:rsidR="009C741A">
        <w:rPr>
          <w:lang w:val="en-AU"/>
        </w:rPr>
        <w:t xml:space="preserve">ustralia </w:t>
      </w:r>
      <w:r w:rsidR="009C741A" w:rsidRPr="009C741A">
        <w:rPr>
          <w:lang w:val="en-AU"/>
        </w:rPr>
        <w:t xml:space="preserve">for the rules </w:t>
      </w:r>
      <w:r w:rsidR="009C741A">
        <w:rPr>
          <w:lang w:val="en-AU"/>
        </w:rPr>
        <w:t xml:space="preserve">/ </w:t>
      </w:r>
      <w:r w:rsidR="009C741A" w:rsidRPr="009C741A">
        <w:rPr>
          <w:lang w:val="en-AU"/>
        </w:rPr>
        <w:t>regulation</w:t>
      </w:r>
      <w:r w:rsidR="009C741A">
        <w:rPr>
          <w:lang w:val="en-AU"/>
        </w:rPr>
        <w:t xml:space="preserve"> </w:t>
      </w:r>
      <w:r w:rsidR="009C741A" w:rsidRPr="009C741A">
        <w:rPr>
          <w:lang w:val="en-AU"/>
        </w:rPr>
        <w:t>review</w:t>
      </w:r>
      <w:r>
        <w:rPr>
          <w:lang w:val="en-AU"/>
        </w:rPr>
        <w:t xml:space="preserve">. </w:t>
      </w:r>
      <w:r w:rsidR="00C56EC4" w:rsidRPr="00C56EC4">
        <w:rPr>
          <w:lang w:val="en-AU"/>
        </w:rPr>
        <w:t>The contents of these emails along with feedback from other states were compiled into a register that has been sent out to all delegates</w:t>
      </w:r>
      <w:r w:rsidR="00C56EC4">
        <w:rPr>
          <w:lang w:val="en-AU"/>
        </w:rPr>
        <w:t>.</w:t>
      </w:r>
    </w:p>
    <w:p w14:paraId="446AC312" w14:textId="77B48B72" w:rsidR="00C56EC4" w:rsidRDefault="00C56EC4" w:rsidP="007E14D0">
      <w:pPr>
        <w:ind w:left="0"/>
        <w:rPr>
          <w:lang w:val="en-AU"/>
        </w:rPr>
      </w:pPr>
      <w:r>
        <w:rPr>
          <w:lang w:val="en-AU"/>
        </w:rPr>
        <w:t xml:space="preserve">Correspondence from SA </w:t>
      </w:r>
      <w:r w:rsidRPr="00C56EC4">
        <w:rPr>
          <w:lang w:val="en-AU"/>
        </w:rPr>
        <w:t>that will be addressed in general business</w:t>
      </w:r>
      <w:r>
        <w:rPr>
          <w:lang w:val="en-AU"/>
        </w:rPr>
        <w:t>.</w:t>
      </w:r>
    </w:p>
    <w:p w14:paraId="307B084A" w14:textId="689EA26C" w:rsidR="00C56EC4" w:rsidRDefault="00C56EC4" w:rsidP="007E14D0">
      <w:pPr>
        <w:ind w:left="0"/>
        <w:rPr>
          <w:lang w:val="en-AU"/>
        </w:rPr>
      </w:pPr>
      <w:r>
        <w:rPr>
          <w:lang w:val="en-AU"/>
        </w:rPr>
        <w:t>S</w:t>
      </w:r>
      <w:r w:rsidRPr="00C56EC4">
        <w:rPr>
          <w:lang w:val="en-AU"/>
        </w:rPr>
        <w:t xml:space="preserve">ecretary also mentioned communications with </w:t>
      </w:r>
      <w:r>
        <w:rPr>
          <w:lang w:val="en-AU"/>
        </w:rPr>
        <w:t>S</w:t>
      </w:r>
      <w:r w:rsidRPr="00C56EC4">
        <w:rPr>
          <w:lang w:val="en-AU"/>
        </w:rPr>
        <w:t>upercars representative to assist those that had booked camping for the 12-hour</w:t>
      </w:r>
      <w:r>
        <w:rPr>
          <w:lang w:val="en-AU"/>
        </w:rPr>
        <w:t xml:space="preserve"> </w:t>
      </w:r>
      <w:r w:rsidRPr="00C56EC4">
        <w:rPr>
          <w:lang w:val="en-AU"/>
        </w:rPr>
        <w:t xml:space="preserve">event </w:t>
      </w:r>
      <w:r>
        <w:rPr>
          <w:lang w:val="en-AU"/>
        </w:rPr>
        <w:t xml:space="preserve">to </w:t>
      </w:r>
      <w:r w:rsidRPr="00C56EC4">
        <w:rPr>
          <w:lang w:val="en-AU"/>
        </w:rPr>
        <w:t>organise a refund</w:t>
      </w:r>
      <w:r>
        <w:rPr>
          <w:lang w:val="en-AU"/>
        </w:rPr>
        <w:t xml:space="preserve"> </w:t>
      </w:r>
      <w:r w:rsidRPr="00C56EC4">
        <w:rPr>
          <w:lang w:val="en-AU"/>
        </w:rPr>
        <w:t xml:space="preserve">due to the </w:t>
      </w:r>
      <w:r>
        <w:rPr>
          <w:lang w:val="en-AU"/>
        </w:rPr>
        <w:t>E</w:t>
      </w:r>
      <w:r w:rsidRPr="00C56EC4">
        <w:rPr>
          <w:lang w:val="en-AU"/>
        </w:rPr>
        <w:t>xcel being removed from the event</w:t>
      </w:r>
      <w:r>
        <w:rPr>
          <w:lang w:val="en-AU"/>
        </w:rPr>
        <w:t>.</w:t>
      </w:r>
    </w:p>
    <w:p w14:paraId="3013CE95" w14:textId="5CD7C1A2" w:rsidR="007E14D0" w:rsidRPr="007E14D0" w:rsidRDefault="007E14D0" w:rsidP="007E14D0">
      <w:pPr>
        <w:ind w:left="0"/>
        <w:rPr>
          <w:b/>
        </w:rPr>
      </w:pPr>
      <w:r>
        <w:rPr>
          <w:lang w:val="en-AU"/>
        </w:rPr>
        <w:t xml:space="preserve">. </w:t>
      </w:r>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7EE22346" w:rsidR="00AA6D21" w:rsidRDefault="008E0CD1" w:rsidP="00AA6D21">
      <w:pPr>
        <w:rPr>
          <w:lang w:val="en-AU"/>
        </w:rPr>
      </w:pPr>
      <w:r w:rsidRPr="008E0CD1">
        <w:rPr>
          <w:lang w:val="en-AU"/>
        </w:rPr>
        <w:t>Treasure</w:t>
      </w:r>
      <w:r>
        <w:rPr>
          <w:lang w:val="en-AU"/>
        </w:rPr>
        <w:t>r</w:t>
      </w:r>
      <w:r w:rsidRPr="008E0CD1">
        <w:rPr>
          <w:lang w:val="en-AU"/>
        </w:rPr>
        <w:t xml:space="preserve"> informed the meeting that there had been no change to the bank account since the previous meeting in </w:t>
      </w:r>
      <w:r w:rsidR="00E22973">
        <w:rPr>
          <w:lang w:val="en-AU"/>
        </w:rPr>
        <w:t>March,</w:t>
      </w:r>
      <w:r w:rsidRPr="008E0CD1">
        <w:rPr>
          <w:lang w:val="en-AU"/>
        </w:rPr>
        <w:t xml:space="preserve"> so the standing balance had not changed from</w:t>
      </w:r>
      <w:r>
        <w:rPr>
          <w:lang w:val="en-AU"/>
        </w:rPr>
        <w:t xml:space="preserve"> </w:t>
      </w:r>
      <w:r w:rsidRPr="008E0CD1">
        <w:rPr>
          <w:lang w:val="en-AU"/>
        </w:rPr>
        <w:t>$1,308.44</w:t>
      </w:r>
      <w:r w:rsidRPr="00F46357">
        <w:rPr>
          <w:lang w:val="en-AU"/>
        </w:rPr>
        <w:t>.</w:t>
      </w:r>
    </w:p>
    <w:p w14:paraId="2EEB1259" w14:textId="00E92CFC" w:rsidR="00AA6D21" w:rsidRPr="00B853F9" w:rsidRDefault="00AA6D21" w:rsidP="00AA6D21">
      <w:pPr>
        <w:pStyle w:val="ListNumber"/>
      </w:pPr>
      <w:r w:rsidRPr="00AA6D21">
        <w:t xml:space="preserve">Technical Delegate Report </w:t>
      </w:r>
    </w:p>
    <w:p w14:paraId="25A7F146" w14:textId="50E22523" w:rsidR="00AA6D21" w:rsidRDefault="003C636C" w:rsidP="00AA6D21">
      <w:pPr>
        <w:rPr>
          <w:lang w:val="en-AU"/>
        </w:rPr>
      </w:pPr>
      <w:r w:rsidRPr="003C636C">
        <w:rPr>
          <w:lang w:val="en-AU"/>
        </w:rPr>
        <w:t>Currently almost out of seals so more will have to be ordered in the near future</w:t>
      </w:r>
      <w:r w:rsidR="00AA6D21" w:rsidRPr="00AA6D21">
        <w:rPr>
          <w:lang w:val="en-AU"/>
        </w:rPr>
        <w:t>.</w:t>
      </w:r>
      <w:r>
        <w:rPr>
          <w:lang w:val="en-AU"/>
        </w:rPr>
        <w:t xml:space="preserve"> </w:t>
      </w:r>
    </w:p>
    <w:p w14:paraId="0EB79CF7" w14:textId="49187DAA" w:rsidR="003C636C" w:rsidRDefault="003C636C" w:rsidP="00AA6D21">
      <w:pPr>
        <w:rPr>
          <w:lang w:val="en-AU"/>
        </w:rPr>
      </w:pPr>
      <w:r w:rsidRPr="003C636C">
        <w:rPr>
          <w:lang w:val="en-AU"/>
        </w:rPr>
        <w:t>Still waiting to receive sealing sheets out of both W</w:t>
      </w:r>
      <w:r>
        <w:rPr>
          <w:lang w:val="en-AU"/>
        </w:rPr>
        <w:t xml:space="preserve">estern </w:t>
      </w:r>
      <w:r w:rsidRPr="003C636C">
        <w:rPr>
          <w:lang w:val="en-AU"/>
        </w:rPr>
        <w:t>A</w:t>
      </w:r>
      <w:r>
        <w:rPr>
          <w:lang w:val="en-AU"/>
        </w:rPr>
        <w:t>ustralia</w:t>
      </w:r>
      <w:r w:rsidRPr="003C636C">
        <w:rPr>
          <w:lang w:val="en-AU"/>
        </w:rPr>
        <w:t xml:space="preserve"> and Victoria</w:t>
      </w:r>
      <w:r>
        <w:rPr>
          <w:lang w:val="en-AU"/>
        </w:rPr>
        <w:t xml:space="preserve">. </w:t>
      </w:r>
      <w:r w:rsidR="00203600" w:rsidRPr="00AA6D21">
        <w:t>Technical Delegate</w:t>
      </w:r>
      <w:r w:rsidR="00203600">
        <w:t xml:space="preserve"> asked </w:t>
      </w:r>
      <w:r w:rsidR="00203600">
        <w:rPr>
          <w:lang w:val="en-AU"/>
        </w:rPr>
        <w:t>S</w:t>
      </w:r>
      <w:r w:rsidR="00203600" w:rsidRPr="00203600">
        <w:rPr>
          <w:lang w:val="en-AU"/>
        </w:rPr>
        <w:t xml:space="preserve">tate </w:t>
      </w:r>
      <w:r w:rsidR="00203600">
        <w:rPr>
          <w:lang w:val="en-AU"/>
        </w:rPr>
        <w:t>D</w:t>
      </w:r>
      <w:r w:rsidR="00203600" w:rsidRPr="00203600">
        <w:rPr>
          <w:lang w:val="en-AU"/>
        </w:rPr>
        <w:t>elegates to assist in this process</w:t>
      </w:r>
      <w:r w:rsidR="00203600">
        <w:rPr>
          <w:lang w:val="en-AU"/>
        </w:rPr>
        <w:t xml:space="preserve">. </w:t>
      </w:r>
    </w:p>
    <w:p w14:paraId="15A4D59F" w14:textId="4DA66ED0" w:rsidR="0015180F" w:rsidRPr="00B853F9" w:rsidRDefault="007E14D0" w:rsidP="00B853F9">
      <w:pPr>
        <w:pStyle w:val="ListNumber"/>
      </w:pPr>
      <w:r w:rsidRPr="00781E62">
        <w:t>General Business</w:t>
      </w:r>
    </w:p>
    <w:p w14:paraId="5EF00F9A" w14:textId="5908C58E" w:rsidR="0050150D" w:rsidRDefault="00000000" w:rsidP="00291B3E">
      <w:pPr>
        <w:ind w:left="0"/>
        <w:rPr>
          <w:lang w:val="en-AU"/>
        </w:rPr>
      </w:pPr>
      <w:sdt>
        <w:sdtPr>
          <w:rPr>
            <w:lang w:val="en-AU"/>
          </w:r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203600" w:rsidRPr="00602894">
            <w:rPr>
              <w:lang w:val="en-AU"/>
            </w:rPr>
            <w:t xml:space="preserve">President </w:t>
          </w:r>
          <w:r w:rsidR="00E22973">
            <w:rPr>
              <w:lang w:val="en-AU"/>
            </w:rPr>
            <w:t>informed</w:t>
          </w:r>
          <w:r w:rsidR="00203600" w:rsidRPr="00602894">
            <w:rPr>
              <w:lang w:val="en-AU"/>
            </w:rPr>
            <w:t xml:space="preserve"> the group that at the next meeting there will be a vote on the inclusion of Tasmania into </w:t>
          </w:r>
          <w:r w:rsidR="005D6786">
            <w:rPr>
              <w:lang w:val="en-AU"/>
            </w:rPr>
            <w:t>CERA</w:t>
          </w:r>
          <w:r w:rsidR="00203600" w:rsidRPr="00602894">
            <w:rPr>
              <w:lang w:val="en-AU"/>
            </w:rPr>
            <w:t xml:space="preserve"> as a full voting rights member. </w:t>
          </w:r>
          <w:r w:rsidR="00E22973">
            <w:rPr>
              <w:lang w:val="en-AU"/>
            </w:rPr>
            <w:t>P</w:t>
          </w:r>
          <w:r w:rsidR="00203600" w:rsidRPr="00602894">
            <w:rPr>
              <w:lang w:val="en-AU"/>
            </w:rPr>
            <w:t xml:space="preserve">lease take this back to clubs ang comities for their </w:t>
          </w:r>
          <w:r w:rsidR="00602894" w:rsidRPr="00602894">
            <w:rPr>
              <w:lang w:val="en-AU"/>
            </w:rPr>
            <w:t>consideration</w:t>
          </w:r>
          <w:r w:rsidR="00203600" w:rsidRPr="00602894">
            <w:rPr>
              <w:lang w:val="en-AU"/>
            </w:rPr>
            <w:t xml:space="preserve"> and approval. Tasmania are a fully affiliated </w:t>
          </w:r>
          <w:r w:rsidR="00E22973">
            <w:rPr>
              <w:lang w:val="en-AU"/>
            </w:rPr>
            <w:t>M</w:t>
          </w:r>
          <w:r w:rsidR="00203600" w:rsidRPr="00602894">
            <w:rPr>
              <w:lang w:val="en-AU"/>
            </w:rPr>
            <w:t xml:space="preserve">otorsport Australia </w:t>
          </w:r>
          <w:r w:rsidR="00E22973">
            <w:rPr>
              <w:lang w:val="en-AU"/>
            </w:rPr>
            <w:t>C</w:t>
          </w:r>
          <w:r w:rsidR="00203600" w:rsidRPr="00602894">
            <w:rPr>
              <w:lang w:val="en-AU"/>
            </w:rPr>
            <w:t xml:space="preserve">lub and an associated incorporation. </w:t>
          </w:r>
          <w:r w:rsidR="00602894" w:rsidRPr="00602894">
            <w:rPr>
              <w:lang w:val="en-AU"/>
            </w:rPr>
            <w:t xml:space="preserve">Feedback about the process from </w:t>
          </w:r>
          <w:r w:rsidR="007772C9">
            <w:rPr>
              <w:lang w:val="en-AU"/>
            </w:rPr>
            <w:t>C</w:t>
          </w:r>
          <w:r w:rsidR="00602894" w:rsidRPr="00602894">
            <w:rPr>
              <w:lang w:val="en-AU"/>
            </w:rPr>
            <w:t xml:space="preserve">onsumer </w:t>
          </w:r>
          <w:r w:rsidR="007772C9">
            <w:rPr>
              <w:lang w:val="en-AU"/>
            </w:rPr>
            <w:t>A</w:t>
          </w:r>
          <w:r w:rsidR="00602894" w:rsidRPr="00602894">
            <w:rPr>
              <w:lang w:val="en-AU"/>
            </w:rPr>
            <w:t>ffairs Vic</w:t>
          </w:r>
          <w:r w:rsidR="00DE26A6">
            <w:rPr>
              <w:lang w:val="en-AU"/>
            </w:rPr>
            <w:t>toria</w:t>
          </w:r>
          <w:r w:rsidR="00602894">
            <w:rPr>
              <w:lang w:val="en-AU"/>
            </w:rPr>
            <w:t xml:space="preserve"> </w:t>
          </w:r>
          <w:r w:rsidR="00602894" w:rsidRPr="00602894">
            <w:rPr>
              <w:lang w:val="en-AU"/>
            </w:rPr>
            <w:t>was explained that there would be no need to change the constitution, it is the process of adding a new member.</w:t>
          </w:r>
        </w:sdtContent>
      </w:sdt>
      <w:r w:rsidR="00602894" w:rsidRPr="00602894">
        <w:rPr>
          <w:lang w:val="en-AU"/>
        </w:rPr>
        <w:t xml:space="preserve"> </w:t>
      </w:r>
      <w:r w:rsidR="007772C9">
        <w:rPr>
          <w:lang w:val="en-AU"/>
        </w:rPr>
        <w:br/>
      </w:r>
      <w:r w:rsidR="007772C9">
        <w:rPr>
          <w:lang w:val="en-AU"/>
        </w:rPr>
        <w:br/>
      </w:r>
      <w:r w:rsidR="005D6786">
        <w:rPr>
          <w:lang w:val="en-AU"/>
        </w:rPr>
        <w:t xml:space="preserve">Feedback </w:t>
      </w:r>
      <w:r w:rsidR="005D6786" w:rsidRPr="005D6786">
        <w:rPr>
          <w:lang w:val="en-AU"/>
        </w:rPr>
        <w:t>from SA committee about the 103% rule</w:t>
      </w:r>
      <w:r w:rsidR="005D6786">
        <w:rPr>
          <w:lang w:val="en-AU"/>
        </w:rPr>
        <w:t xml:space="preserve"> </w:t>
      </w:r>
      <w:r w:rsidR="005D6786" w:rsidRPr="005D6786">
        <w:rPr>
          <w:lang w:val="en-AU"/>
        </w:rPr>
        <w:t xml:space="preserve">was asked to be taken back to </w:t>
      </w:r>
      <w:r w:rsidR="005D6786">
        <w:rPr>
          <w:lang w:val="en-AU"/>
        </w:rPr>
        <w:t xml:space="preserve">CERA. </w:t>
      </w:r>
      <w:r w:rsidR="005D6786" w:rsidRPr="005D6786">
        <w:rPr>
          <w:lang w:val="en-AU"/>
        </w:rPr>
        <w:t>the concern being that</w:t>
      </w:r>
      <w:r w:rsidR="005D6786">
        <w:rPr>
          <w:lang w:val="en-AU"/>
        </w:rPr>
        <w:t xml:space="preserve"> </w:t>
      </w:r>
      <w:r w:rsidR="005D6786" w:rsidRPr="005D6786">
        <w:rPr>
          <w:lang w:val="en-AU"/>
        </w:rPr>
        <w:t xml:space="preserve">the lap record would have been set during an optimum point in time so therefore at a wet race meeting someone could win </w:t>
      </w:r>
      <w:r w:rsidR="005D6786">
        <w:rPr>
          <w:lang w:val="en-AU"/>
        </w:rPr>
        <w:t>race</w:t>
      </w:r>
      <w:r w:rsidR="005D6786" w:rsidRPr="005D6786">
        <w:rPr>
          <w:lang w:val="en-AU"/>
        </w:rPr>
        <w:t xml:space="preserve"> and still be outside of the </w:t>
      </w:r>
      <w:r w:rsidR="005D6786" w:rsidRPr="005D6786">
        <w:rPr>
          <w:lang w:val="en-AU"/>
        </w:rPr>
        <w:lastRenderedPageBreak/>
        <w:t>103%</w:t>
      </w:r>
      <w:r w:rsidR="005D6786">
        <w:rPr>
          <w:lang w:val="en-AU"/>
        </w:rPr>
        <w:t xml:space="preserve">. </w:t>
      </w:r>
      <w:r w:rsidR="004361F0" w:rsidRPr="004361F0">
        <w:rPr>
          <w:lang w:val="en-AU"/>
        </w:rPr>
        <w:t xml:space="preserve">The feedback from </w:t>
      </w:r>
      <w:r w:rsidR="00AB6F4B">
        <w:rPr>
          <w:lang w:val="en-AU"/>
        </w:rPr>
        <w:t>SA</w:t>
      </w:r>
      <w:r w:rsidR="004361F0" w:rsidRPr="004361F0">
        <w:rPr>
          <w:lang w:val="en-AU"/>
        </w:rPr>
        <w:t xml:space="preserve"> is that the 103% should be based upon the fastest lap at that race </w:t>
      </w:r>
      <w:r w:rsidR="00E22973">
        <w:rPr>
          <w:lang w:val="en-AU"/>
        </w:rPr>
        <w:t xml:space="preserve">event/ </w:t>
      </w:r>
      <w:r w:rsidR="004361F0" w:rsidRPr="004361F0">
        <w:rPr>
          <w:lang w:val="en-AU"/>
        </w:rPr>
        <w:t>meeting</w:t>
      </w:r>
      <w:r w:rsidR="004361F0">
        <w:rPr>
          <w:lang w:val="en-AU"/>
        </w:rPr>
        <w:t xml:space="preserve">. </w:t>
      </w:r>
      <w:r w:rsidR="00AB6F4B">
        <w:rPr>
          <w:lang w:val="en-AU"/>
        </w:rPr>
        <w:t xml:space="preserve">President presented information from recent race meetings </w:t>
      </w:r>
      <w:r w:rsidR="00E66BF7">
        <w:rPr>
          <w:lang w:val="en-AU"/>
        </w:rPr>
        <w:t>held</w:t>
      </w:r>
      <w:r w:rsidR="00AB6F4B">
        <w:rPr>
          <w:lang w:val="en-AU"/>
        </w:rPr>
        <w:t xml:space="preserve"> in WA</w:t>
      </w:r>
      <w:r w:rsidR="00E66BF7">
        <w:rPr>
          <w:lang w:val="en-AU"/>
        </w:rPr>
        <w:t>, Victoria</w:t>
      </w:r>
      <w:r w:rsidR="00AB6F4B">
        <w:rPr>
          <w:lang w:val="en-AU"/>
        </w:rPr>
        <w:t xml:space="preserve"> and Qld. Qld 42 competitors at the meeting and 26 went below the 103% time. In WA </w:t>
      </w:r>
      <w:r w:rsidR="00E66BF7">
        <w:rPr>
          <w:lang w:val="en-AU"/>
        </w:rPr>
        <w:t xml:space="preserve">7 of the 16 competitors breached the 103% time. With Victoria 16 out of the 27 </w:t>
      </w:r>
      <w:r w:rsidR="00E66BF7" w:rsidRPr="00E66BF7">
        <w:rPr>
          <w:lang w:val="en-AU"/>
        </w:rPr>
        <w:t>competitors</w:t>
      </w:r>
      <w:r w:rsidR="00E66BF7">
        <w:rPr>
          <w:lang w:val="en-AU"/>
        </w:rPr>
        <w:t xml:space="preserve"> were under the 103% time. </w:t>
      </w:r>
      <w:r w:rsidR="00E66BF7" w:rsidRPr="00E66BF7">
        <w:rPr>
          <w:lang w:val="en-AU"/>
        </w:rPr>
        <w:t>In the hot mo</w:t>
      </w:r>
      <w:r w:rsidR="00E66BF7">
        <w:rPr>
          <w:lang w:val="en-AU"/>
        </w:rPr>
        <w:t>nths</w:t>
      </w:r>
      <w:r w:rsidR="00E66BF7" w:rsidRPr="00E66BF7">
        <w:rPr>
          <w:lang w:val="en-AU"/>
        </w:rPr>
        <w:t xml:space="preserve"> this loosely</w:t>
      </w:r>
      <w:r w:rsidR="00E66BF7">
        <w:rPr>
          <w:lang w:val="en-AU"/>
        </w:rPr>
        <w:t xml:space="preserve"> </w:t>
      </w:r>
      <w:r w:rsidR="00E66BF7" w:rsidRPr="00E66BF7">
        <w:rPr>
          <w:lang w:val="en-AU"/>
        </w:rPr>
        <w:t>comes to around 50% of the field that would need to have sealed engines</w:t>
      </w:r>
      <w:r w:rsidR="00E66BF7">
        <w:rPr>
          <w:lang w:val="en-AU"/>
        </w:rPr>
        <w:t xml:space="preserve">. </w:t>
      </w:r>
      <w:r w:rsidR="00807F30" w:rsidRPr="00807F30">
        <w:rPr>
          <w:lang w:val="en-AU"/>
        </w:rPr>
        <w:t xml:space="preserve">It was also mentioned that if </w:t>
      </w:r>
      <w:r w:rsidR="00E22973">
        <w:rPr>
          <w:lang w:val="en-AU"/>
        </w:rPr>
        <w:t>a</w:t>
      </w:r>
      <w:r w:rsidR="00807F30" w:rsidRPr="00807F30">
        <w:rPr>
          <w:lang w:val="en-AU"/>
        </w:rPr>
        <w:t xml:space="preserve"> club is wanting </w:t>
      </w:r>
      <w:r w:rsidR="00E22973" w:rsidRPr="00807F30">
        <w:rPr>
          <w:lang w:val="en-AU"/>
        </w:rPr>
        <w:t>to,</w:t>
      </w:r>
      <w:r w:rsidR="00807F30" w:rsidRPr="00807F30">
        <w:rPr>
          <w:lang w:val="en-AU"/>
        </w:rPr>
        <w:t xml:space="preserve"> they can ask any competitor at any time to present an engine</w:t>
      </w:r>
      <w:r w:rsidR="00807F30">
        <w:rPr>
          <w:lang w:val="en-AU"/>
        </w:rPr>
        <w:t xml:space="preserve"> </w:t>
      </w:r>
      <w:r w:rsidR="00807F30" w:rsidRPr="00807F30">
        <w:rPr>
          <w:lang w:val="en-AU"/>
        </w:rPr>
        <w:t>for an inspection</w:t>
      </w:r>
      <w:r w:rsidR="00807F30">
        <w:rPr>
          <w:lang w:val="en-AU"/>
        </w:rPr>
        <w:t xml:space="preserve">. </w:t>
      </w:r>
      <w:r w:rsidR="000E47C0" w:rsidRPr="000E47C0">
        <w:rPr>
          <w:lang w:val="en-AU"/>
        </w:rPr>
        <w:t>President also spoke about in reference to feedback from WA in the rules register is that the term wrecker engine no longer exists</w:t>
      </w:r>
      <w:r w:rsidR="000E47C0">
        <w:rPr>
          <w:lang w:val="en-AU"/>
        </w:rPr>
        <w:t>. W</w:t>
      </w:r>
      <w:r w:rsidR="000E47C0" w:rsidRPr="000E47C0">
        <w:rPr>
          <w:lang w:val="en-AU"/>
        </w:rPr>
        <w:t>e either have fully sealed engines or unsealed engines</w:t>
      </w:r>
      <w:r w:rsidR="000E47C0">
        <w:rPr>
          <w:lang w:val="en-AU"/>
        </w:rPr>
        <w:t xml:space="preserve">. </w:t>
      </w:r>
      <w:r w:rsidR="00E22973">
        <w:rPr>
          <w:lang w:val="en-AU"/>
        </w:rPr>
        <w:t>I</w:t>
      </w:r>
      <w:r w:rsidR="000E47C0" w:rsidRPr="000E47C0">
        <w:rPr>
          <w:lang w:val="en-AU"/>
        </w:rPr>
        <w:t xml:space="preserve">f a </w:t>
      </w:r>
      <w:r w:rsidR="00953523">
        <w:rPr>
          <w:lang w:val="en-AU"/>
        </w:rPr>
        <w:t>wrecker</w:t>
      </w:r>
      <w:r w:rsidR="000E47C0" w:rsidRPr="000E47C0">
        <w:rPr>
          <w:lang w:val="en-AU"/>
        </w:rPr>
        <w:t xml:space="preserve"> engine </w:t>
      </w:r>
      <w:r w:rsidR="00953523">
        <w:rPr>
          <w:lang w:val="en-AU"/>
        </w:rPr>
        <w:t>breaks</w:t>
      </w:r>
      <w:r w:rsidR="000E47C0" w:rsidRPr="000E47C0">
        <w:rPr>
          <w:lang w:val="en-AU"/>
        </w:rPr>
        <w:t xml:space="preserve"> 103% it will need to be fully inspected and measured to confirm compliance to regulations</w:t>
      </w:r>
      <w:r w:rsidR="000E47C0">
        <w:rPr>
          <w:lang w:val="en-AU"/>
        </w:rPr>
        <w:t xml:space="preserve">. </w:t>
      </w:r>
      <w:r w:rsidR="005F0DA2" w:rsidRPr="005F0DA2">
        <w:rPr>
          <w:lang w:val="en-AU"/>
        </w:rPr>
        <w:t xml:space="preserve">This is to </w:t>
      </w:r>
      <w:r w:rsidR="00E22973">
        <w:rPr>
          <w:lang w:val="en-AU"/>
        </w:rPr>
        <w:t>aid</w:t>
      </w:r>
      <w:r w:rsidR="005F0DA2" w:rsidRPr="005F0DA2">
        <w:rPr>
          <w:lang w:val="en-AU"/>
        </w:rPr>
        <w:t xml:space="preserve"> eligibility processes a</w:t>
      </w:r>
      <w:r w:rsidR="005F0DA2">
        <w:rPr>
          <w:lang w:val="en-AU"/>
        </w:rPr>
        <w:t>t</w:t>
      </w:r>
      <w:r w:rsidR="005F0DA2" w:rsidRPr="005F0DA2">
        <w:rPr>
          <w:lang w:val="en-AU"/>
        </w:rPr>
        <w:t xml:space="preserve"> r</w:t>
      </w:r>
      <w:r w:rsidR="005F0DA2">
        <w:rPr>
          <w:lang w:val="en-AU"/>
        </w:rPr>
        <w:t>a</w:t>
      </w:r>
      <w:r w:rsidR="005F0DA2" w:rsidRPr="005F0DA2">
        <w:rPr>
          <w:lang w:val="en-AU"/>
        </w:rPr>
        <w:t>ce meetings</w:t>
      </w:r>
      <w:r w:rsidR="00E22973">
        <w:rPr>
          <w:lang w:val="en-AU"/>
        </w:rPr>
        <w:t>, i</w:t>
      </w:r>
      <w:r w:rsidR="005F0DA2" w:rsidRPr="005F0DA2">
        <w:rPr>
          <w:lang w:val="en-AU"/>
        </w:rPr>
        <w:t xml:space="preserve">t was also stated that it is a responsibility of the competitor to produce </w:t>
      </w:r>
      <w:r w:rsidR="005F0DA2">
        <w:rPr>
          <w:lang w:val="en-AU"/>
        </w:rPr>
        <w:t>sealing</w:t>
      </w:r>
      <w:r w:rsidR="005F0DA2" w:rsidRPr="005F0DA2">
        <w:rPr>
          <w:lang w:val="en-AU"/>
        </w:rPr>
        <w:t xml:space="preserve"> records when required</w:t>
      </w:r>
      <w:r w:rsidR="005F0DA2">
        <w:rPr>
          <w:lang w:val="en-AU"/>
        </w:rPr>
        <w:t>.</w:t>
      </w:r>
      <w:r w:rsidR="00250F70">
        <w:rPr>
          <w:lang w:val="en-AU"/>
        </w:rPr>
        <w:t xml:space="preserve"> </w:t>
      </w:r>
      <w:r w:rsidR="00250F70" w:rsidRPr="00250F70">
        <w:rPr>
          <w:lang w:val="en-AU"/>
        </w:rPr>
        <w:t>It was agreed to leave 103% r</w:t>
      </w:r>
      <w:r w:rsidR="00250F70">
        <w:rPr>
          <w:lang w:val="en-AU"/>
        </w:rPr>
        <w:t>u</w:t>
      </w:r>
      <w:r w:rsidR="00250F70" w:rsidRPr="00250F70">
        <w:rPr>
          <w:lang w:val="en-AU"/>
        </w:rPr>
        <w:t xml:space="preserve">le </w:t>
      </w:r>
      <w:r w:rsidR="00250F70">
        <w:rPr>
          <w:lang w:val="en-AU"/>
        </w:rPr>
        <w:t>i</w:t>
      </w:r>
      <w:r w:rsidR="00250F70" w:rsidRPr="00250F70">
        <w:rPr>
          <w:lang w:val="en-AU"/>
        </w:rPr>
        <w:t>n place</w:t>
      </w:r>
      <w:r w:rsidR="00250F70">
        <w:rPr>
          <w:lang w:val="en-AU"/>
        </w:rPr>
        <w:t xml:space="preserve"> and</w:t>
      </w:r>
      <w:r w:rsidR="00250F70" w:rsidRPr="00250F70">
        <w:rPr>
          <w:lang w:val="en-AU"/>
        </w:rPr>
        <w:t xml:space="preserve"> evaluate at the end of the year</w:t>
      </w:r>
      <w:r w:rsidR="00250F70">
        <w:rPr>
          <w:lang w:val="en-AU"/>
        </w:rPr>
        <w:t xml:space="preserve">. </w:t>
      </w:r>
    </w:p>
    <w:p w14:paraId="695925D4" w14:textId="07CCA165" w:rsidR="005F0DA2" w:rsidRDefault="00F10CF4" w:rsidP="00291B3E">
      <w:pPr>
        <w:ind w:left="0"/>
        <w:rPr>
          <w:lang w:val="en-AU"/>
        </w:rPr>
      </w:pPr>
      <w:r w:rsidRPr="00F10CF4">
        <w:rPr>
          <w:lang w:val="en-AU"/>
        </w:rPr>
        <w:t xml:space="preserve">Victorian </w:t>
      </w:r>
      <w:r w:rsidR="008A3B68">
        <w:rPr>
          <w:lang w:val="en-AU"/>
        </w:rPr>
        <w:t>D</w:t>
      </w:r>
      <w:r w:rsidRPr="00F10CF4">
        <w:rPr>
          <w:lang w:val="en-AU"/>
        </w:rPr>
        <w:t>elegate asked what would be the issue if someone los</w:t>
      </w:r>
      <w:r>
        <w:rPr>
          <w:lang w:val="en-AU"/>
        </w:rPr>
        <w:t xml:space="preserve">t </w:t>
      </w:r>
      <w:r w:rsidRPr="00F10CF4">
        <w:rPr>
          <w:lang w:val="en-AU"/>
        </w:rPr>
        <w:t xml:space="preserve">they </w:t>
      </w:r>
      <w:r>
        <w:rPr>
          <w:lang w:val="en-AU"/>
        </w:rPr>
        <w:t>Seal</w:t>
      </w:r>
      <w:r w:rsidRPr="00F10CF4">
        <w:rPr>
          <w:lang w:val="en-AU"/>
        </w:rPr>
        <w:t xml:space="preserve"> sheet</w:t>
      </w:r>
      <w:r>
        <w:rPr>
          <w:lang w:val="en-AU"/>
        </w:rPr>
        <w:t xml:space="preserve">? </w:t>
      </w:r>
      <w:r w:rsidR="007858AB">
        <w:rPr>
          <w:lang w:val="en-AU"/>
        </w:rPr>
        <w:t>T</w:t>
      </w:r>
      <w:r w:rsidRPr="00F10CF4">
        <w:rPr>
          <w:lang w:val="en-AU"/>
        </w:rPr>
        <w:t xml:space="preserve">echnical </w:t>
      </w:r>
      <w:r w:rsidR="007858AB">
        <w:rPr>
          <w:lang w:val="en-AU"/>
        </w:rPr>
        <w:t>D</w:t>
      </w:r>
      <w:r w:rsidR="007858AB" w:rsidRPr="00F10CF4">
        <w:rPr>
          <w:lang w:val="en-AU"/>
        </w:rPr>
        <w:t>elegate</w:t>
      </w:r>
      <w:r w:rsidRPr="00F10CF4">
        <w:rPr>
          <w:lang w:val="en-AU"/>
        </w:rPr>
        <w:t xml:space="preserve"> answered with the fact that the</w:t>
      </w:r>
      <w:r>
        <w:rPr>
          <w:lang w:val="en-AU"/>
        </w:rPr>
        <w:t xml:space="preserve"> E</w:t>
      </w:r>
      <w:r w:rsidRPr="00F10CF4">
        <w:rPr>
          <w:lang w:val="en-AU"/>
        </w:rPr>
        <w:t xml:space="preserve">ngine </w:t>
      </w:r>
      <w:r>
        <w:rPr>
          <w:lang w:val="en-AU"/>
        </w:rPr>
        <w:t>Sealer</w:t>
      </w:r>
      <w:r w:rsidRPr="00F10CF4">
        <w:rPr>
          <w:lang w:val="en-AU"/>
        </w:rPr>
        <w:t xml:space="preserve"> should have a copy and therefore should have sent that on to the </w:t>
      </w:r>
      <w:r>
        <w:rPr>
          <w:lang w:val="en-AU"/>
        </w:rPr>
        <w:t>N</w:t>
      </w:r>
      <w:r w:rsidRPr="00F10CF4">
        <w:rPr>
          <w:lang w:val="en-AU"/>
        </w:rPr>
        <w:t xml:space="preserve">ational </w:t>
      </w:r>
      <w:r>
        <w:rPr>
          <w:lang w:val="en-AU"/>
        </w:rPr>
        <w:t>B</w:t>
      </w:r>
      <w:r w:rsidRPr="00F10CF4">
        <w:rPr>
          <w:lang w:val="en-AU"/>
        </w:rPr>
        <w:t>ody</w:t>
      </w:r>
      <w:r>
        <w:rPr>
          <w:lang w:val="en-AU"/>
        </w:rPr>
        <w:t>, i</w:t>
      </w:r>
      <w:r w:rsidRPr="00F10CF4">
        <w:rPr>
          <w:lang w:val="en-AU"/>
        </w:rPr>
        <w:t>t is the responsibility of the competitors to maintain records</w:t>
      </w:r>
      <w:r w:rsidR="008A3B68">
        <w:rPr>
          <w:lang w:val="en-AU"/>
        </w:rPr>
        <w:t xml:space="preserve">. Sealing sheets need to be similar to that of logbooks for the competitors to keep on hand and present when required. </w:t>
      </w:r>
      <w:r w:rsidRPr="00F10CF4">
        <w:rPr>
          <w:lang w:val="en-AU"/>
        </w:rPr>
        <w:t xml:space="preserve">Victorian </w:t>
      </w:r>
      <w:r>
        <w:rPr>
          <w:lang w:val="en-AU"/>
        </w:rPr>
        <w:t>P</w:t>
      </w:r>
      <w:r w:rsidRPr="00F10CF4">
        <w:rPr>
          <w:lang w:val="en-AU"/>
        </w:rPr>
        <w:t xml:space="preserve">resident suggested the use of a photo as a copy and this was agreed as an alternative measure and back up of the original </w:t>
      </w:r>
      <w:r>
        <w:rPr>
          <w:lang w:val="en-AU"/>
        </w:rPr>
        <w:t>seal</w:t>
      </w:r>
      <w:r w:rsidRPr="00F10CF4">
        <w:rPr>
          <w:lang w:val="en-AU"/>
        </w:rPr>
        <w:t>ing sh</w:t>
      </w:r>
      <w:r>
        <w:rPr>
          <w:lang w:val="en-AU"/>
        </w:rPr>
        <w:t>eet.</w:t>
      </w:r>
    </w:p>
    <w:p w14:paraId="1373E170" w14:textId="3B4FBCD8" w:rsidR="007858AB" w:rsidRPr="007858AB" w:rsidRDefault="007858AB" w:rsidP="007858AB">
      <w:pPr>
        <w:pStyle w:val="ListNumber"/>
        <w:rPr>
          <w:lang w:val="en-AU"/>
        </w:rPr>
      </w:pPr>
      <w:bookmarkStart w:id="0" w:name="_Hlk103013565"/>
      <w:r>
        <w:t>Proposed Rule Amendments</w:t>
      </w:r>
    </w:p>
    <w:bookmarkEnd w:id="0"/>
    <w:p w14:paraId="4466B8CB" w14:textId="5756C09F" w:rsidR="00B70C30" w:rsidRDefault="00E60904" w:rsidP="007772C9">
      <w:pPr>
        <w:ind w:left="0"/>
        <w:rPr>
          <w:lang w:val="en-AU"/>
        </w:rPr>
      </w:pPr>
      <w:r w:rsidRPr="00E60904">
        <w:rPr>
          <w:lang w:val="en-AU"/>
        </w:rPr>
        <w:t>President discussed general consensus from previous meeting</w:t>
      </w:r>
      <w:r w:rsidR="00BF5255">
        <w:rPr>
          <w:lang w:val="en-AU"/>
        </w:rPr>
        <w:t>s</w:t>
      </w:r>
      <w:r w:rsidRPr="00E60904">
        <w:rPr>
          <w:lang w:val="en-AU"/>
        </w:rPr>
        <w:t xml:space="preserve"> that</w:t>
      </w:r>
      <w:r>
        <w:rPr>
          <w:lang w:val="en-AU"/>
        </w:rPr>
        <w:t xml:space="preserve"> CERA </w:t>
      </w:r>
      <w:r w:rsidRPr="00E60904">
        <w:rPr>
          <w:lang w:val="en-AU"/>
        </w:rPr>
        <w:t>avoid making a lot of rule changes</w:t>
      </w:r>
      <w:r>
        <w:rPr>
          <w:lang w:val="en-AU"/>
        </w:rPr>
        <w:t xml:space="preserve">. </w:t>
      </w:r>
      <w:r w:rsidR="00872074" w:rsidRPr="00872074">
        <w:rPr>
          <w:lang w:val="en-AU"/>
        </w:rPr>
        <w:t>There is a general reluctance to change engine r</w:t>
      </w:r>
      <w:r w:rsidR="00872074">
        <w:rPr>
          <w:lang w:val="en-AU"/>
        </w:rPr>
        <w:t xml:space="preserve">ules </w:t>
      </w:r>
      <w:r w:rsidR="00872074" w:rsidRPr="00872074">
        <w:rPr>
          <w:lang w:val="en-AU"/>
        </w:rPr>
        <w:t>as this would incur costs to the competit</w:t>
      </w:r>
      <w:r w:rsidR="00872074">
        <w:rPr>
          <w:lang w:val="en-AU"/>
        </w:rPr>
        <w:t xml:space="preserve">or base. </w:t>
      </w:r>
    </w:p>
    <w:p w14:paraId="460A68F0" w14:textId="463E8402" w:rsidR="00E60904" w:rsidRDefault="00E60904" w:rsidP="007772C9">
      <w:pPr>
        <w:ind w:left="0"/>
        <w:rPr>
          <w:i/>
          <w:iCs/>
          <w:lang w:val="en-AU"/>
        </w:rPr>
      </w:pPr>
      <w:r w:rsidRPr="00E60904">
        <w:rPr>
          <w:lang w:val="en-AU"/>
        </w:rPr>
        <w:t>Topics taken from the document</w:t>
      </w:r>
      <w:r>
        <w:rPr>
          <w:lang w:val="en-AU"/>
        </w:rPr>
        <w:t xml:space="preserve"> </w:t>
      </w:r>
      <w:r w:rsidRPr="00E60904">
        <w:rPr>
          <w:i/>
          <w:iCs/>
          <w:lang w:val="en-AU"/>
        </w:rPr>
        <w:t>CERA Regulation Review Issue Register 2022</w:t>
      </w:r>
      <w:r>
        <w:rPr>
          <w:i/>
          <w:iCs/>
          <w:lang w:val="en-AU"/>
        </w:rPr>
        <w:t>.</w:t>
      </w:r>
    </w:p>
    <w:p w14:paraId="675B08E1" w14:textId="7A1DB94E" w:rsidR="00E60904" w:rsidRDefault="00BE6A46" w:rsidP="007772C9">
      <w:pPr>
        <w:ind w:left="0"/>
        <w:rPr>
          <w:lang w:val="en-AU"/>
        </w:rPr>
      </w:pPr>
      <w:r w:rsidRPr="00BE6A46">
        <w:rPr>
          <w:lang w:val="en-AU"/>
        </w:rPr>
        <w:t xml:space="preserve">Submissions from Victoria </w:t>
      </w:r>
    </w:p>
    <w:p w14:paraId="615AECBB" w14:textId="208A8D41" w:rsidR="00BE6A46" w:rsidRPr="00801887" w:rsidRDefault="00BE6A46" w:rsidP="00CB078E">
      <w:pPr>
        <w:pStyle w:val="ListParagraph"/>
        <w:numPr>
          <w:ilvl w:val="0"/>
          <w:numId w:val="4"/>
        </w:numPr>
        <w:rPr>
          <w:lang w:val="en-AU"/>
        </w:rPr>
      </w:pPr>
      <w:r w:rsidRPr="00801887">
        <w:rPr>
          <w:i/>
          <w:iCs/>
          <w:lang w:val="en-AU"/>
        </w:rPr>
        <w:t>Rule 4.2 CYLINDER BLOCK/ CRANK / RODS / PISTONS (e) (ii) A minimum of one of the respective pistons and conrods must remain standard and have no material removed.</w:t>
      </w:r>
      <w:r w:rsidRPr="00801887">
        <w:rPr>
          <w:lang w:val="en-AU"/>
        </w:rPr>
        <w:t xml:space="preserve"> Contradicts engine balancing procedures. </w:t>
      </w:r>
      <w:r w:rsidR="00872074" w:rsidRPr="00801887">
        <w:rPr>
          <w:lang w:val="en-AU"/>
        </w:rPr>
        <w:t xml:space="preserve">Outcome - Delegates to take this back to the clubs for feedback. </w:t>
      </w:r>
    </w:p>
    <w:p w14:paraId="7E59CC1A" w14:textId="01C161EE" w:rsidR="00872074" w:rsidRDefault="00801887" w:rsidP="00CB078E">
      <w:pPr>
        <w:pStyle w:val="ListParagraph"/>
        <w:numPr>
          <w:ilvl w:val="0"/>
          <w:numId w:val="4"/>
        </w:numPr>
        <w:rPr>
          <w:lang w:val="en-AU"/>
        </w:rPr>
      </w:pPr>
      <w:r w:rsidRPr="00801887">
        <w:rPr>
          <w:lang w:val="en-AU"/>
        </w:rPr>
        <w:t>Valve Springs - previously discussed in actions. Outcome - Technical Delegate gather all samples and check sizes, rates</w:t>
      </w:r>
      <w:r w:rsidR="00C65DFA">
        <w:rPr>
          <w:lang w:val="en-AU"/>
        </w:rPr>
        <w:t xml:space="preserve">, </w:t>
      </w:r>
      <w:r w:rsidRPr="00801887">
        <w:rPr>
          <w:lang w:val="en-AU"/>
        </w:rPr>
        <w:t>specifications</w:t>
      </w:r>
      <w:r w:rsidR="00C65DFA">
        <w:rPr>
          <w:lang w:val="en-AU"/>
        </w:rPr>
        <w:t xml:space="preserve"> a</w:t>
      </w:r>
      <w:r w:rsidR="00C65DFA" w:rsidRPr="00C65DFA">
        <w:rPr>
          <w:lang w:val="en-AU"/>
        </w:rPr>
        <w:t>nd manufacturer data</w:t>
      </w:r>
      <w:r w:rsidRPr="00801887">
        <w:rPr>
          <w:lang w:val="en-AU"/>
        </w:rPr>
        <w:t xml:space="preserve">. </w:t>
      </w:r>
    </w:p>
    <w:p w14:paraId="72D6A13A" w14:textId="0D58CA4D" w:rsidR="00C65DFA" w:rsidRDefault="00C65DFA" w:rsidP="00CB078E">
      <w:pPr>
        <w:pStyle w:val="ListParagraph"/>
        <w:numPr>
          <w:ilvl w:val="0"/>
          <w:numId w:val="4"/>
        </w:numPr>
        <w:rPr>
          <w:lang w:val="en-AU"/>
        </w:rPr>
      </w:pPr>
      <w:r w:rsidRPr="00DC75C5">
        <w:t>Rule 4.3</w:t>
      </w:r>
      <w:r>
        <w:t xml:space="preserve"> </w:t>
      </w:r>
      <w:r w:rsidRPr="004B78E6">
        <w:t>CYLINDER HEAD / CAMSHAFT / VALVES</w:t>
      </w:r>
      <w:r w:rsidRPr="00DC75C5">
        <w:t xml:space="preserve"> (d)</w:t>
      </w:r>
      <w:r>
        <w:t xml:space="preserve"> </w:t>
      </w:r>
      <w:r w:rsidRPr="00DC75C5">
        <w:t xml:space="preserve">It is permitted to regrind the valve seats, including over cuts and undercuts, the purpose of which is to obtain the desired valve seat width. The top cut of the valve seat is limited to a maximum overall diameter of 29.0mm for exhaust and maximum overall diameter </w:t>
      </w:r>
      <w:r w:rsidRPr="00DC75C5">
        <w:lastRenderedPageBreak/>
        <w:t xml:space="preserve">of 32.0mm for the inlet valve seats. </w:t>
      </w:r>
      <w:r w:rsidRPr="00C65DFA">
        <w:rPr>
          <w:i/>
          <w:iCs/>
        </w:rPr>
        <w:t>Suggest a small tolerance here (0.1-0.2). Rational; heads are right on the maximum or over, depending on who and how they the head is measured. Suggest using a no go gauge to eliminate any doubt.</w:t>
      </w:r>
      <w:r w:rsidR="008B47C9">
        <w:rPr>
          <w:i/>
          <w:iCs/>
        </w:rPr>
        <w:t xml:space="preserve"> </w:t>
      </w:r>
      <w:r w:rsidR="008B47C9" w:rsidRPr="008B47C9">
        <w:t>Outcome</w:t>
      </w:r>
      <w:r w:rsidR="008B47C9">
        <w:t>:</w:t>
      </w:r>
      <w:r w:rsidR="008B47C9">
        <w:rPr>
          <w:i/>
          <w:iCs/>
        </w:rPr>
        <w:t xml:space="preserve"> </w:t>
      </w:r>
      <w:r w:rsidR="008B47C9" w:rsidRPr="008B47C9">
        <w:t>Allow use of no go gauge</w:t>
      </w:r>
      <w:r w:rsidR="002024D3">
        <w:t xml:space="preserve"> and </w:t>
      </w:r>
      <w:r w:rsidR="002024D3" w:rsidRPr="002024D3">
        <w:rPr>
          <w:lang w:val="en-AU"/>
        </w:rPr>
        <w:t xml:space="preserve">supply gauges to </w:t>
      </w:r>
      <w:r w:rsidR="002024D3">
        <w:rPr>
          <w:lang w:val="en-AU"/>
        </w:rPr>
        <w:t>a</w:t>
      </w:r>
      <w:r w:rsidR="002024D3" w:rsidRPr="002024D3">
        <w:rPr>
          <w:lang w:val="en-AU"/>
        </w:rPr>
        <w:t>ll</w:t>
      </w:r>
      <w:r w:rsidR="002024D3">
        <w:rPr>
          <w:lang w:val="en-AU"/>
        </w:rPr>
        <w:t xml:space="preserve"> S</w:t>
      </w:r>
      <w:r w:rsidR="002024D3" w:rsidRPr="002024D3">
        <w:rPr>
          <w:lang w:val="en-AU"/>
        </w:rPr>
        <w:t xml:space="preserve">tate </w:t>
      </w:r>
      <w:r w:rsidR="002024D3">
        <w:rPr>
          <w:lang w:val="en-AU"/>
        </w:rPr>
        <w:t>S</w:t>
      </w:r>
      <w:r w:rsidR="002024D3" w:rsidRPr="002024D3">
        <w:rPr>
          <w:lang w:val="en-AU"/>
        </w:rPr>
        <w:t>ealers</w:t>
      </w:r>
      <w:r w:rsidR="002024D3">
        <w:rPr>
          <w:lang w:val="en-AU"/>
        </w:rPr>
        <w:t xml:space="preserve">. </w:t>
      </w:r>
      <w:r w:rsidR="002024D3" w:rsidRPr="002024D3">
        <w:rPr>
          <w:lang w:val="en-AU"/>
        </w:rPr>
        <w:t>agreed not to change current dimensions as this would incur costs to competitors</w:t>
      </w:r>
      <w:r w:rsidR="002024D3">
        <w:rPr>
          <w:lang w:val="en-AU"/>
        </w:rPr>
        <w:t xml:space="preserve">. </w:t>
      </w:r>
      <w:r w:rsidR="002024D3" w:rsidRPr="002024D3">
        <w:rPr>
          <w:lang w:val="en-AU"/>
        </w:rPr>
        <w:t xml:space="preserve">Victorian delegate to look at the production of </w:t>
      </w:r>
      <w:r w:rsidR="002024D3">
        <w:rPr>
          <w:lang w:val="en-AU"/>
        </w:rPr>
        <w:t>no go</w:t>
      </w:r>
      <w:r w:rsidR="002024D3" w:rsidRPr="002024D3">
        <w:rPr>
          <w:lang w:val="en-AU"/>
        </w:rPr>
        <w:t xml:space="preserve"> gauges</w:t>
      </w:r>
      <w:r w:rsidR="002024D3">
        <w:rPr>
          <w:lang w:val="en-AU"/>
        </w:rPr>
        <w:t xml:space="preserve"> and then look at getting them certified. </w:t>
      </w:r>
    </w:p>
    <w:p w14:paraId="6905923D" w14:textId="66BC9FB7" w:rsidR="00174959" w:rsidRPr="00801887" w:rsidRDefault="00174959" w:rsidP="00CB078E">
      <w:pPr>
        <w:pStyle w:val="ListParagraph"/>
        <w:numPr>
          <w:ilvl w:val="0"/>
          <w:numId w:val="4"/>
        </w:numPr>
        <w:rPr>
          <w:lang w:val="en-AU"/>
        </w:rPr>
      </w:pPr>
      <w:r w:rsidRPr="00174959">
        <w:rPr>
          <w:lang w:val="en-AU"/>
        </w:rPr>
        <w:t>Rule 6 TRANSMISSION (h) It is permitted to use an A4AF2 Automatic gearbox. Suggest adding a gear ratio chart in the appendix</w:t>
      </w:r>
      <w:r>
        <w:rPr>
          <w:lang w:val="en-AU"/>
        </w:rPr>
        <w:t xml:space="preserve"> </w:t>
      </w:r>
      <w:proofErr w:type="spellStart"/>
      <w:r w:rsidRPr="00174959">
        <w:rPr>
          <w:lang w:val="en-AU"/>
        </w:rPr>
        <w:t>Appendix</w:t>
      </w:r>
      <w:proofErr w:type="spellEnd"/>
      <w:r w:rsidRPr="00174959">
        <w:rPr>
          <w:lang w:val="en-AU"/>
        </w:rPr>
        <w:t xml:space="preserve"> 2 </w:t>
      </w:r>
      <w:r w:rsidRPr="00174959">
        <w:rPr>
          <w:i/>
          <w:iCs/>
          <w:lang w:val="en-AU"/>
        </w:rPr>
        <w:t>Add table with automatic transmission ratios</w:t>
      </w:r>
      <w:r>
        <w:rPr>
          <w:i/>
          <w:iCs/>
          <w:lang w:val="en-AU"/>
        </w:rPr>
        <w:t xml:space="preserve">. </w:t>
      </w:r>
      <w:r w:rsidRPr="00801887">
        <w:rPr>
          <w:lang w:val="en-AU"/>
        </w:rPr>
        <w:t xml:space="preserve">Outcome - </w:t>
      </w:r>
      <w:r w:rsidRPr="00174959">
        <w:rPr>
          <w:lang w:val="en-AU"/>
        </w:rPr>
        <w:t>add gear ratios into appendix</w:t>
      </w:r>
      <w:r w:rsidRPr="00801887">
        <w:rPr>
          <w:lang w:val="en-AU"/>
        </w:rPr>
        <w:t xml:space="preserve">. </w:t>
      </w:r>
    </w:p>
    <w:p w14:paraId="77C6BD37" w14:textId="777776BF" w:rsidR="00EB2144" w:rsidRPr="00801887" w:rsidRDefault="001A69EA" w:rsidP="00CB078E">
      <w:pPr>
        <w:pStyle w:val="ListParagraph"/>
        <w:numPr>
          <w:ilvl w:val="0"/>
          <w:numId w:val="4"/>
        </w:numPr>
        <w:rPr>
          <w:lang w:val="en-AU"/>
        </w:rPr>
      </w:pPr>
      <w:r w:rsidRPr="001A69EA">
        <w:rPr>
          <w:lang w:val="en-AU"/>
        </w:rPr>
        <w:t>Rule 11 SUSPENSION (</w:t>
      </w:r>
      <w:proofErr w:type="spellStart"/>
      <w:r w:rsidRPr="001A69EA">
        <w:rPr>
          <w:lang w:val="en-AU"/>
        </w:rPr>
        <w:t>i</w:t>
      </w:r>
      <w:proofErr w:type="spellEnd"/>
      <w:r w:rsidRPr="001A69EA">
        <w:rPr>
          <w:lang w:val="en-AU"/>
        </w:rPr>
        <w:t xml:space="preserve">-vi) </w:t>
      </w:r>
      <w:r w:rsidRPr="001A69EA">
        <w:rPr>
          <w:i/>
          <w:iCs/>
          <w:lang w:val="en-AU"/>
        </w:rPr>
        <w:t>Rear anti roll bar rule needs to be defined better</w:t>
      </w:r>
      <w:r>
        <w:rPr>
          <w:i/>
          <w:iCs/>
          <w:lang w:val="en-AU"/>
        </w:rPr>
        <w:t xml:space="preserve">: </w:t>
      </w:r>
      <w:r w:rsidR="00EB2144" w:rsidRPr="00801887">
        <w:rPr>
          <w:lang w:val="en-AU"/>
        </w:rPr>
        <w:t xml:space="preserve">Outcome </w:t>
      </w:r>
      <w:r w:rsidR="00EB2144">
        <w:rPr>
          <w:lang w:val="en-AU"/>
        </w:rPr>
        <w:t>–</w:t>
      </w:r>
      <w:r w:rsidR="00EB2144" w:rsidRPr="00801887">
        <w:rPr>
          <w:lang w:val="en-AU"/>
        </w:rPr>
        <w:t xml:space="preserve"> </w:t>
      </w:r>
      <w:r w:rsidR="00EB2144">
        <w:rPr>
          <w:lang w:val="en-AU"/>
        </w:rPr>
        <w:t xml:space="preserve">Bars must be commercially available. </w:t>
      </w:r>
      <w:r w:rsidR="00EB2144" w:rsidRPr="00801887">
        <w:rPr>
          <w:lang w:val="en-AU"/>
        </w:rPr>
        <w:t xml:space="preserve">Delegates to take this back to the clubs for feedback. </w:t>
      </w:r>
      <w:r w:rsidR="002240DA">
        <w:rPr>
          <w:lang w:val="en-AU"/>
        </w:rPr>
        <w:t>D</w:t>
      </w:r>
      <w:r w:rsidR="00EB2144">
        <w:rPr>
          <w:lang w:val="en-AU"/>
        </w:rPr>
        <w:t xml:space="preserve">iscussed in previous meeting. </w:t>
      </w:r>
    </w:p>
    <w:p w14:paraId="2255993B" w14:textId="53CFB3C2" w:rsidR="00174959" w:rsidRDefault="001760EA" w:rsidP="00CB078E">
      <w:pPr>
        <w:pStyle w:val="ListParagraph"/>
        <w:numPr>
          <w:ilvl w:val="0"/>
          <w:numId w:val="4"/>
        </w:numPr>
        <w:rPr>
          <w:lang w:val="en-AU"/>
        </w:rPr>
      </w:pPr>
      <w:r w:rsidRPr="001760EA">
        <w:rPr>
          <w:lang w:val="en-AU"/>
        </w:rPr>
        <w:t>Rule 12.1 GENERAL (ELECTRICAL EQUIPMENT) (f) No modification to the engine wiring harness or under-dash wiring loom is permitted. It is not permitted to add any additional covering to the wiring loom (</w:t>
      </w:r>
      <w:r w:rsidR="00E74F06" w:rsidRPr="001760EA">
        <w:rPr>
          <w:lang w:val="en-AU"/>
        </w:rPr>
        <w:t>e.g.</w:t>
      </w:r>
      <w:r w:rsidRPr="001760EA">
        <w:rPr>
          <w:lang w:val="en-AU"/>
        </w:rPr>
        <w:t xml:space="preserve"> heat shrink, electrical tape, cloth tape or conduit) other than to the minimum amount required to repair a damaged wiring loom. Any wiring loom repairs must be able to be exposed for eligibility checks. </w:t>
      </w:r>
      <w:r w:rsidRPr="001760EA">
        <w:rPr>
          <w:i/>
          <w:iCs/>
          <w:lang w:val="en-AU"/>
        </w:rPr>
        <w:t>What are we trying to achieve here? This rule tends to contradict itself. Considering these cars are over 20 years old, you could say that most have had the wiring loom under the dash modified in some form or another. Another thing to note, the wiring harness are different between the models. Automatic transmission vs manual, single cam vs twin cam, cars with electric windows and other features vs those without.</w:t>
      </w:r>
      <w:r w:rsidR="00E74F06">
        <w:rPr>
          <w:i/>
          <w:iCs/>
          <w:lang w:val="en-AU"/>
        </w:rPr>
        <w:t xml:space="preserve"> </w:t>
      </w:r>
      <w:r w:rsidR="00E74F06" w:rsidRPr="00E74F06">
        <w:rPr>
          <w:lang w:val="en-AU"/>
        </w:rPr>
        <w:t>Outcomes</w:t>
      </w:r>
      <w:r w:rsidR="00E74F06">
        <w:rPr>
          <w:lang w:val="en-AU"/>
        </w:rPr>
        <w:t xml:space="preserve"> - </w:t>
      </w:r>
      <w:r w:rsidR="00E74F06" w:rsidRPr="00E74F06">
        <w:rPr>
          <w:lang w:val="en-AU"/>
        </w:rPr>
        <w:t>maintain current r</w:t>
      </w:r>
      <w:r w:rsidR="00E74F06">
        <w:rPr>
          <w:lang w:val="en-AU"/>
        </w:rPr>
        <w:t>u</w:t>
      </w:r>
      <w:r w:rsidR="00E74F06" w:rsidRPr="00E74F06">
        <w:rPr>
          <w:lang w:val="en-AU"/>
        </w:rPr>
        <w:t>le and if repairs are made they are not re</w:t>
      </w:r>
      <w:r w:rsidR="00E74F06">
        <w:rPr>
          <w:lang w:val="en-AU"/>
        </w:rPr>
        <w:t>-</w:t>
      </w:r>
      <w:r w:rsidR="00E74F06" w:rsidRPr="00E74F06">
        <w:rPr>
          <w:lang w:val="en-AU"/>
        </w:rPr>
        <w:t>wrapped So that they can be easily inspected</w:t>
      </w:r>
      <w:r w:rsidR="00E74F06">
        <w:rPr>
          <w:lang w:val="en-AU"/>
        </w:rPr>
        <w:t xml:space="preserve">. </w:t>
      </w:r>
      <w:r w:rsidR="00E74F06" w:rsidRPr="00E74F06">
        <w:rPr>
          <w:lang w:val="en-AU"/>
        </w:rPr>
        <w:t xml:space="preserve">Intent of the rule is </w:t>
      </w:r>
      <w:r w:rsidR="00E74F06">
        <w:rPr>
          <w:lang w:val="en-AU"/>
        </w:rPr>
        <w:t>to</w:t>
      </w:r>
      <w:r w:rsidR="00E74F06" w:rsidRPr="00E74F06">
        <w:rPr>
          <w:lang w:val="en-AU"/>
        </w:rPr>
        <w:t xml:space="preserve"> aid eligibility</w:t>
      </w:r>
      <w:r w:rsidR="00E74F06">
        <w:rPr>
          <w:lang w:val="en-AU"/>
        </w:rPr>
        <w:t xml:space="preserve">. </w:t>
      </w:r>
      <w:r w:rsidR="003A0B86">
        <w:rPr>
          <w:lang w:val="en-AU"/>
        </w:rPr>
        <w:t xml:space="preserve">Suggestion to add word to under dash wiring. </w:t>
      </w:r>
    </w:p>
    <w:p w14:paraId="62300812" w14:textId="27A0E074" w:rsidR="003A0B86" w:rsidRDefault="003A0B86" w:rsidP="00CB078E">
      <w:pPr>
        <w:pStyle w:val="ListParagraph"/>
        <w:numPr>
          <w:ilvl w:val="0"/>
          <w:numId w:val="4"/>
        </w:numPr>
        <w:rPr>
          <w:lang w:val="en-AU"/>
        </w:rPr>
      </w:pPr>
      <w:r>
        <w:rPr>
          <w:lang w:val="en-AU"/>
        </w:rPr>
        <w:t xml:space="preserve">Ballast position: </w:t>
      </w:r>
      <w:r w:rsidRPr="00801887">
        <w:rPr>
          <w:lang w:val="en-AU"/>
        </w:rPr>
        <w:t>Delegates to take this back to the clubs for feedback.</w:t>
      </w:r>
    </w:p>
    <w:p w14:paraId="61CF84FA" w14:textId="2152BE46" w:rsidR="003A0B86" w:rsidRDefault="003A0B86" w:rsidP="00CB078E">
      <w:pPr>
        <w:pStyle w:val="ListParagraph"/>
        <w:numPr>
          <w:ilvl w:val="0"/>
          <w:numId w:val="4"/>
        </w:numPr>
        <w:rPr>
          <w:lang w:val="en-AU"/>
        </w:rPr>
      </w:pPr>
      <w:r w:rsidRPr="003A0B86">
        <w:rPr>
          <w:lang w:val="en-AU"/>
        </w:rPr>
        <w:t>Rule 13.3 INTERIOR (ix)</w:t>
      </w:r>
      <w:r>
        <w:rPr>
          <w:lang w:val="en-AU"/>
        </w:rPr>
        <w:t xml:space="preserve"> </w:t>
      </w:r>
      <w:r w:rsidRPr="003A0B86">
        <w:rPr>
          <w:lang w:val="en-AU"/>
        </w:rPr>
        <w:t>It is permitted to fit a drivers footwell floorplate with maximum floor lift height of 25mm and maximum dimensions of 730mm x 530mm</w:t>
      </w:r>
      <w:r w:rsidRPr="003A0B86">
        <w:rPr>
          <w:i/>
          <w:iCs/>
          <w:lang w:val="en-AU"/>
        </w:rPr>
        <w:t>. Suggest allowing the height to be more than 25mm to allow for people with short feet.</w:t>
      </w:r>
      <w:r w:rsidRPr="003A0B86">
        <w:rPr>
          <w:lang w:val="en-AU"/>
        </w:rPr>
        <w:t xml:space="preserve"> Outcome</w:t>
      </w:r>
      <w:r>
        <w:rPr>
          <w:lang w:val="en-AU"/>
        </w:rPr>
        <w:t xml:space="preserve"> – Leave rule as is. </w:t>
      </w:r>
    </w:p>
    <w:p w14:paraId="7E5A56AC" w14:textId="7780F245" w:rsidR="003A0B86" w:rsidRPr="003A0B86" w:rsidRDefault="003A0B86" w:rsidP="00CB078E">
      <w:pPr>
        <w:pStyle w:val="ListParagraph"/>
        <w:numPr>
          <w:ilvl w:val="0"/>
          <w:numId w:val="4"/>
        </w:numPr>
        <w:rPr>
          <w:lang w:val="en-AU"/>
        </w:rPr>
      </w:pPr>
      <w:r w:rsidRPr="003A0B86">
        <w:rPr>
          <w:lang w:val="en-AU"/>
        </w:rPr>
        <w:t xml:space="preserve">Appendix 1 Body width – Front 1611mm (+/- 15mm) </w:t>
      </w:r>
      <w:r w:rsidRPr="003A0B86">
        <w:rPr>
          <w:i/>
          <w:iCs/>
          <w:lang w:val="en-AU"/>
        </w:rPr>
        <w:t>Has this been increased to allowed for the wheel to fit under?</w:t>
      </w:r>
      <w:r>
        <w:rPr>
          <w:i/>
          <w:iCs/>
          <w:lang w:val="en-AU"/>
        </w:rPr>
        <w:t xml:space="preserve"> </w:t>
      </w:r>
      <w:r>
        <w:rPr>
          <w:lang w:val="en-AU"/>
        </w:rPr>
        <w:t xml:space="preserve">Outcome </w:t>
      </w:r>
      <w:r w:rsidR="00FE008B">
        <w:rPr>
          <w:lang w:val="en-AU"/>
        </w:rPr>
        <w:t>–</w:t>
      </w:r>
      <w:r>
        <w:rPr>
          <w:lang w:val="en-AU"/>
        </w:rPr>
        <w:t xml:space="preserve"> </w:t>
      </w:r>
      <w:r w:rsidR="00FE008B">
        <w:rPr>
          <w:lang w:val="en-AU"/>
        </w:rPr>
        <w:t xml:space="preserve">Look developing a guard width and final track size. States to take measurements. </w:t>
      </w:r>
    </w:p>
    <w:p w14:paraId="110C0703" w14:textId="6BA4EEA7" w:rsidR="00801887" w:rsidRDefault="003A0B86" w:rsidP="00801887">
      <w:pPr>
        <w:rPr>
          <w:lang w:val="en-AU"/>
        </w:rPr>
      </w:pPr>
      <w:r w:rsidRPr="003A0B86">
        <w:rPr>
          <w:lang w:val="en-AU"/>
        </w:rPr>
        <w:t xml:space="preserve">Submissions from </w:t>
      </w:r>
      <w:r w:rsidR="00FE008B">
        <w:rPr>
          <w:lang w:val="en-AU"/>
        </w:rPr>
        <w:t>South</w:t>
      </w:r>
      <w:r>
        <w:rPr>
          <w:lang w:val="en-AU"/>
        </w:rPr>
        <w:t xml:space="preserve"> Australia. </w:t>
      </w:r>
    </w:p>
    <w:p w14:paraId="31646F62" w14:textId="0B8DDCC4" w:rsidR="00FE008B" w:rsidRDefault="00FE008B" w:rsidP="00CB078E">
      <w:pPr>
        <w:pStyle w:val="ListParagraph"/>
        <w:numPr>
          <w:ilvl w:val="0"/>
          <w:numId w:val="5"/>
        </w:numPr>
        <w:rPr>
          <w:lang w:val="en-AU"/>
        </w:rPr>
      </w:pPr>
      <w:r>
        <w:t xml:space="preserve">Production of 3D CAD Models and allow the CNC machining of the of Gearbox selector forks. Outcome - </w:t>
      </w:r>
      <w:r w:rsidRPr="00FE008B">
        <w:rPr>
          <w:lang w:val="en-AU"/>
        </w:rPr>
        <w:t xml:space="preserve">as discussed in previous meeting try and get a </w:t>
      </w:r>
      <w:r>
        <w:rPr>
          <w:lang w:val="en-AU"/>
        </w:rPr>
        <w:t>new</w:t>
      </w:r>
      <w:r w:rsidRPr="00FE008B">
        <w:rPr>
          <w:lang w:val="en-AU"/>
        </w:rPr>
        <w:t xml:space="preserve"> sample so that it can be measured and a CAD model produced</w:t>
      </w:r>
      <w:r>
        <w:rPr>
          <w:lang w:val="en-AU"/>
        </w:rPr>
        <w:t>.</w:t>
      </w:r>
    </w:p>
    <w:p w14:paraId="5C5B0891" w14:textId="39224292" w:rsidR="00FE008B" w:rsidRDefault="002642DB" w:rsidP="00CB078E">
      <w:pPr>
        <w:pStyle w:val="ListParagraph"/>
        <w:numPr>
          <w:ilvl w:val="0"/>
          <w:numId w:val="5"/>
        </w:numPr>
        <w:rPr>
          <w:lang w:val="en-AU"/>
        </w:rPr>
      </w:pPr>
      <w:r w:rsidRPr="002642DB">
        <w:rPr>
          <w:lang w:val="en-AU"/>
        </w:rPr>
        <w:lastRenderedPageBreak/>
        <w:t>Rear Suspension Camber Stops</w:t>
      </w:r>
      <w:r>
        <w:rPr>
          <w:lang w:val="en-AU"/>
        </w:rPr>
        <w:t xml:space="preserve">: </w:t>
      </w:r>
      <w:r>
        <w:t xml:space="preserve">Outcome - </w:t>
      </w:r>
      <w:r w:rsidRPr="002642DB">
        <w:rPr>
          <w:lang w:val="en-AU"/>
        </w:rPr>
        <w:t xml:space="preserve">information on stops to be sent out to </w:t>
      </w:r>
      <w:r>
        <w:rPr>
          <w:lang w:val="en-AU"/>
        </w:rPr>
        <w:t>a</w:t>
      </w:r>
      <w:r w:rsidRPr="002642DB">
        <w:rPr>
          <w:lang w:val="en-AU"/>
        </w:rPr>
        <w:t>ll</w:t>
      </w:r>
      <w:r>
        <w:rPr>
          <w:lang w:val="en-AU"/>
        </w:rPr>
        <w:t xml:space="preserve"> </w:t>
      </w:r>
      <w:r w:rsidRPr="002642DB">
        <w:rPr>
          <w:lang w:val="en-AU"/>
        </w:rPr>
        <w:t>state delegates and feedback sort from clubs</w:t>
      </w:r>
      <w:r>
        <w:rPr>
          <w:lang w:val="en-AU"/>
        </w:rPr>
        <w:t xml:space="preserve">. </w:t>
      </w:r>
    </w:p>
    <w:p w14:paraId="07F5AA56" w14:textId="4EB1B414" w:rsidR="00FE008B" w:rsidRDefault="00851562" w:rsidP="00CB078E">
      <w:pPr>
        <w:pStyle w:val="ListParagraph"/>
        <w:numPr>
          <w:ilvl w:val="0"/>
          <w:numId w:val="5"/>
        </w:numPr>
        <w:rPr>
          <w:lang w:val="en-AU"/>
        </w:rPr>
      </w:pPr>
      <w:r w:rsidRPr="0019179B">
        <w:t>Headlight and indicators replacement with useable mounting points.</w:t>
      </w:r>
      <w:r>
        <w:t xml:space="preserve"> Outcome - </w:t>
      </w:r>
      <w:r w:rsidRPr="002642DB">
        <w:rPr>
          <w:lang w:val="en-AU"/>
        </w:rPr>
        <w:t xml:space="preserve">information on </w:t>
      </w:r>
      <w:r>
        <w:rPr>
          <w:lang w:val="en-AU"/>
        </w:rPr>
        <w:t>replacement</w:t>
      </w:r>
      <w:r w:rsidRPr="002642DB">
        <w:rPr>
          <w:lang w:val="en-AU"/>
        </w:rPr>
        <w:t xml:space="preserve"> to be sent out to </w:t>
      </w:r>
      <w:r>
        <w:rPr>
          <w:lang w:val="en-AU"/>
        </w:rPr>
        <w:t>a</w:t>
      </w:r>
      <w:r w:rsidRPr="002642DB">
        <w:rPr>
          <w:lang w:val="en-AU"/>
        </w:rPr>
        <w:t>ll</w:t>
      </w:r>
      <w:r>
        <w:rPr>
          <w:lang w:val="en-AU"/>
        </w:rPr>
        <w:t xml:space="preserve"> </w:t>
      </w:r>
      <w:r w:rsidRPr="002642DB">
        <w:rPr>
          <w:lang w:val="en-AU"/>
        </w:rPr>
        <w:t>state delegates and feedback sort from clubs</w:t>
      </w:r>
      <w:r>
        <w:rPr>
          <w:lang w:val="en-AU"/>
        </w:rPr>
        <w:t xml:space="preserve">. </w:t>
      </w:r>
      <w:r w:rsidR="00A40F6D" w:rsidRPr="00A40F6D">
        <w:rPr>
          <w:lang w:val="en-AU"/>
        </w:rPr>
        <w:t xml:space="preserve">Technical </w:t>
      </w:r>
      <w:r w:rsidR="00A40F6D">
        <w:rPr>
          <w:lang w:val="en-AU"/>
        </w:rPr>
        <w:t>D</w:t>
      </w:r>
      <w:r w:rsidR="00A40F6D" w:rsidRPr="00A40F6D">
        <w:rPr>
          <w:lang w:val="en-AU"/>
        </w:rPr>
        <w:t>elegates will chase up one piece prototype option currently being developed in QLD</w:t>
      </w:r>
      <w:r w:rsidR="00A40F6D">
        <w:rPr>
          <w:lang w:val="en-AU"/>
        </w:rPr>
        <w:t xml:space="preserve">. </w:t>
      </w:r>
    </w:p>
    <w:p w14:paraId="35ABCF88" w14:textId="08608342" w:rsidR="00FE008B" w:rsidRDefault="00A40F6D" w:rsidP="00FE008B">
      <w:pPr>
        <w:rPr>
          <w:lang w:val="en-AU"/>
        </w:rPr>
      </w:pPr>
      <w:r w:rsidRPr="00A40F6D">
        <w:rPr>
          <w:lang w:val="en-AU"/>
        </w:rPr>
        <w:t xml:space="preserve">Submissions from </w:t>
      </w:r>
      <w:r>
        <w:rPr>
          <w:lang w:val="en-AU"/>
        </w:rPr>
        <w:t>Queensland</w:t>
      </w:r>
      <w:r w:rsidRPr="00A40F6D">
        <w:rPr>
          <w:lang w:val="en-AU"/>
        </w:rPr>
        <w:t>.</w:t>
      </w:r>
    </w:p>
    <w:p w14:paraId="3B7E96A0" w14:textId="7D449ED2" w:rsidR="00A40F6D" w:rsidRDefault="00A40F6D" w:rsidP="00FE008B">
      <w:pPr>
        <w:rPr>
          <w:lang w:val="en-AU"/>
        </w:rPr>
      </w:pPr>
      <w:r>
        <w:rPr>
          <w:lang w:val="en-AU"/>
        </w:rPr>
        <w:t xml:space="preserve">Point of Sway Bar, Gearbox forks and Headlight replacement already discussed. </w:t>
      </w:r>
    </w:p>
    <w:p w14:paraId="4C8DDE91" w14:textId="5BB5BF39" w:rsidR="00A40F6D" w:rsidRDefault="00A40F6D" w:rsidP="00FE008B">
      <w:pPr>
        <w:rPr>
          <w:lang w:val="en-AU"/>
        </w:rPr>
      </w:pPr>
      <w:r w:rsidRPr="00A40F6D">
        <w:rPr>
          <w:lang w:val="en-AU"/>
        </w:rPr>
        <w:t xml:space="preserve">Submissions from </w:t>
      </w:r>
      <w:r>
        <w:rPr>
          <w:lang w:val="en-AU"/>
        </w:rPr>
        <w:t xml:space="preserve">Western Australia. </w:t>
      </w:r>
    </w:p>
    <w:p w14:paraId="6675D93A" w14:textId="221637FD" w:rsidR="00B90927" w:rsidRDefault="00B90927" w:rsidP="00CB078E">
      <w:pPr>
        <w:pStyle w:val="ListParagraph"/>
        <w:numPr>
          <w:ilvl w:val="0"/>
          <w:numId w:val="6"/>
        </w:numPr>
        <w:rPr>
          <w:lang w:val="en-AU"/>
        </w:rPr>
      </w:pPr>
      <w:r w:rsidRPr="00B31E48">
        <w:rPr>
          <w:lang w:val="en-AU"/>
        </w:rPr>
        <w:t xml:space="preserve">Rule 4.1 GENERAL (ENGINE) (f) The fitment of an engine crankcase breather catch can discharging to atmosphere, compliant with schedule B is permitted. Hoses connecting the engine to the catch can must be a maximum inside diameter of 13mm. These hoses shall only be connected to the engine via the original engine breather connections. The PCV valve internal components may be removed. </w:t>
      </w:r>
      <w:r w:rsidRPr="00B31E48">
        <w:rPr>
          <w:i/>
          <w:iCs/>
          <w:lang w:val="en-AU"/>
        </w:rPr>
        <w:t xml:space="preserve">WA Comments; 13mm ID is too small and restrictive for engines revving over 6000rpm on a racetrack, restriction by use of unmodified connections to cam cover is adequate. Suggested wording “The fitment of an engine crankcase breather discharging to a catch can, compliant with schedule B is permitted. Hoses connecting the engine to the catch can shall only be fitted to the original engine breather connections, The PCV valve internal components may be removed” </w:t>
      </w:r>
      <w:r w:rsidR="00F630A5" w:rsidRPr="00B31E48">
        <w:rPr>
          <w:lang w:val="en-AU"/>
        </w:rPr>
        <w:t xml:space="preserve">Outcome – Previously discussed and decision made in 2021. </w:t>
      </w:r>
    </w:p>
    <w:p w14:paraId="496EB203" w14:textId="3B92D157" w:rsidR="00E502A5" w:rsidRDefault="00E502A5" w:rsidP="00E502A5">
      <w:pPr>
        <w:rPr>
          <w:i/>
          <w:iCs/>
        </w:rPr>
      </w:pPr>
      <w:r>
        <w:t xml:space="preserve">Appendix 5 </w:t>
      </w:r>
      <w:r w:rsidRPr="00640799">
        <w:rPr>
          <w:i/>
          <w:iCs/>
        </w:rPr>
        <w:t>WA Comments;</w:t>
      </w:r>
      <w:r>
        <w:rPr>
          <w:i/>
          <w:iCs/>
        </w:rPr>
        <w:t xml:space="preserve"> </w:t>
      </w:r>
      <w:r w:rsidRPr="00640799">
        <w:rPr>
          <w:i/>
          <w:iCs/>
        </w:rPr>
        <w:t>Can this be enhanced to include eligibility officers</w:t>
      </w:r>
      <w:r>
        <w:rPr>
          <w:i/>
          <w:iCs/>
        </w:rPr>
        <w:t xml:space="preserve">. </w:t>
      </w:r>
      <w:r w:rsidRPr="00E502A5">
        <w:t>Outcome – Motorsport Australia does not include eligibility officers in regulations</w:t>
      </w:r>
      <w:r>
        <w:rPr>
          <w:i/>
          <w:iCs/>
        </w:rPr>
        <w:t xml:space="preserve"> </w:t>
      </w:r>
    </w:p>
    <w:p w14:paraId="05D2A383" w14:textId="3B7F9682" w:rsidR="003E4D68" w:rsidRDefault="003E4D68" w:rsidP="00B90927">
      <w:pPr>
        <w:rPr>
          <w:lang w:val="en-AU"/>
        </w:rPr>
      </w:pPr>
      <w:r>
        <w:rPr>
          <w:lang w:val="en-AU"/>
        </w:rPr>
        <w:t xml:space="preserve">Many points brought up by WA were </w:t>
      </w:r>
      <w:r w:rsidRPr="003E4D68">
        <w:rPr>
          <w:lang w:val="en-AU"/>
        </w:rPr>
        <w:t>discussed and resolved in a previous year’s rule regulation reviews</w:t>
      </w:r>
      <w:r>
        <w:rPr>
          <w:lang w:val="en-AU"/>
        </w:rPr>
        <w:t xml:space="preserve">. </w:t>
      </w:r>
      <w:r w:rsidRPr="003E4D68">
        <w:rPr>
          <w:lang w:val="en-AU"/>
        </w:rPr>
        <w:t>president reminded the group that it's a responsibility of the delegates to pass information back to state committees and members</w:t>
      </w:r>
      <w:r>
        <w:rPr>
          <w:lang w:val="en-AU"/>
        </w:rPr>
        <w:t xml:space="preserve">. </w:t>
      </w:r>
      <w:r w:rsidR="00B31E48">
        <w:rPr>
          <w:lang w:val="en-AU"/>
        </w:rPr>
        <w:t xml:space="preserve">Secretary </w:t>
      </w:r>
      <w:r w:rsidR="00B31E48" w:rsidRPr="00B31E48">
        <w:rPr>
          <w:lang w:val="en-AU"/>
        </w:rPr>
        <w:t xml:space="preserve">stated it was evident from last year that newsletters produced by </w:t>
      </w:r>
      <w:r w:rsidR="00B31E48">
        <w:rPr>
          <w:lang w:val="en-AU"/>
        </w:rPr>
        <w:t>CERA</w:t>
      </w:r>
      <w:r w:rsidR="00B31E48" w:rsidRPr="00B31E48">
        <w:rPr>
          <w:lang w:val="en-AU"/>
        </w:rPr>
        <w:t xml:space="preserve"> and updates issued by </w:t>
      </w:r>
      <w:r w:rsidR="00B31E48">
        <w:rPr>
          <w:lang w:val="en-AU"/>
        </w:rPr>
        <w:t>Supas</w:t>
      </w:r>
      <w:r w:rsidR="00B31E48" w:rsidRPr="00B31E48">
        <w:rPr>
          <w:lang w:val="en-AU"/>
        </w:rPr>
        <w:t>hock were sent out to all delegates and clubs</w:t>
      </w:r>
      <w:r w:rsidR="00287CCA">
        <w:rPr>
          <w:lang w:val="en-AU"/>
        </w:rPr>
        <w:t xml:space="preserve"> were not passed on</w:t>
      </w:r>
      <w:r w:rsidR="00B31E48">
        <w:rPr>
          <w:lang w:val="en-AU"/>
        </w:rPr>
        <w:t xml:space="preserve">. </w:t>
      </w:r>
      <w:r w:rsidR="00287CCA">
        <w:rPr>
          <w:lang w:val="en-AU"/>
        </w:rPr>
        <w:t>I</w:t>
      </w:r>
      <w:r w:rsidR="00B31E48" w:rsidRPr="00B31E48">
        <w:rPr>
          <w:lang w:val="en-AU"/>
        </w:rPr>
        <w:t xml:space="preserve">t was obvious then that some clubs did not pass these newsletters and </w:t>
      </w:r>
      <w:r w:rsidR="00B31E48">
        <w:rPr>
          <w:lang w:val="en-AU"/>
        </w:rPr>
        <w:t>Supa</w:t>
      </w:r>
      <w:r w:rsidR="00B31E48" w:rsidRPr="00B31E48">
        <w:rPr>
          <w:lang w:val="en-AU"/>
        </w:rPr>
        <w:t>shock updates on to members</w:t>
      </w:r>
      <w:r w:rsidR="00B31E48">
        <w:rPr>
          <w:lang w:val="en-AU"/>
        </w:rPr>
        <w:t xml:space="preserve">. </w:t>
      </w:r>
    </w:p>
    <w:p w14:paraId="28BDC31C" w14:textId="4E882616" w:rsidR="00ED5DDE" w:rsidRDefault="00ED5DDE" w:rsidP="00B90927">
      <w:pPr>
        <w:rPr>
          <w:lang w:val="en-AU"/>
        </w:rPr>
      </w:pPr>
      <w:r>
        <w:rPr>
          <w:lang w:val="en-AU"/>
        </w:rPr>
        <w:t>A</w:t>
      </w:r>
      <w:r w:rsidRPr="00ED5DDE">
        <w:rPr>
          <w:lang w:val="en-AU"/>
        </w:rPr>
        <w:t>ll states need to continue conversations with committees and members over the five-year plan</w:t>
      </w:r>
      <w:r>
        <w:rPr>
          <w:lang w:val="en-AU"/>
        </w:rPr>
        <w:t xml:space="preserve">. </w:t>
      </w:r>
    </w:p>
    <w:p w14:paraId="759DE1D0" w14:textId="10C059C3" w:rsidR="00ED5DDE" w:rsidRDefault="00ED5DDE" w:rsidP="00B90927">
      <w:pPr>
        <w:rPr>
          <w:lang w:val="en-AU"/>
        </w:rPr>
      </w:pPr>
      <w:r w:rsidRPr="00ED5DDE">
        <w:rPr>
          <w:lang w:val="en-AU"/>
        </w:rPr>
        <w:lastRenderedPageBreak/>
        <w:t xml:space="preserve">Conversation moved to the current situation with </w:t>
      </w:r>
      <w:r w:rsidR="00D85781">
        <w:rPr>
          <w:lang w:val="en-AU"/>
        </w:rPr>
        <w:t>t</w:t>
      </w:r>
      <w:r w:rsidRPr="00ED5DDE">
        <w:rPr>
          <w:lang w:val="en-AU"/>
        </w:rPr>
        <w:t>he Sup</w:t>
      </w:r>
      <w:r w:rsidR="00263C76">
        <w:rPr>
          <w:lang w:val="en-AU"/>
        </w:rPr>
        <w:t>a</w:t>
      </w:r>
      <w:r w:rsidRPr="00ED5DDE">
        <w:rPr>
          <w:lang w:val="en-AU"/>
        </w:rPr>
        <w:t>shock supply and how each state was going to deal with it</w:t>
      </w:r>
      <w:r>
        <w:rPr>
          <w:lang w:val="en-AU"/>
        </w:rPr>
        <w:t xml:space="preserve">. </w:t>
      </w:r>
      <w:r w:rsidR="00263C76">
        <w:rPr>
          <w:lang w:val="en-AU"/>
        </w:rPr>
        <w:t>O</w:t>
      </w:r>
      <w:r w:rsidRPr="00ED5DDE">
        <w:rPr>
          <w:lang w:val="en-AU"/>
        </w:rPr>
        <w:t xml:space="preserve">nce again the outcome was emphasised that each state will deal with it depending upon the situation that they are </w:t>
      </w:r>
      <w:r>
        <w:rPr>
          <w:lang w:val="en-AU"/>
        </w:rPr>
        <w:t xml:space="preserve">in. </w:t>
      </w:r>
    </w:p>
    <w:p w14:paraId="5C506A38" w14:textId="00F509F6" w:rsidR="00263C76" w:rsidRPr="00F630A5" w:rsidRDefault="00263C76" w:rsidP="00B90927">
      <w:pPr>
        <w:rPr>
          <w:lang w:val="en-AU"/>
        </w:rPr>
      </w:pPr>
      <w:r w:rsidRPr="00263C76">
        <w:rPr>
          <w:lang w:val="en-AU"/>
        </w:rPr>
        <w:t xml:space="preserve">Victorian delegate </w:t>
      </w:r>
      <w:r w:rsidR="00D85781">
        <w:rPr>
          <w:lang w:val="en-AU"/>
        </w:rPr>
        <w:t>brought up</w:t>
      </w:r>
      <w:r w:rsidRPr="00263C76">
        <w:rPr>
          <w:lang w:val="en-AU"/>
        </w:rPr>
        <w:t xml:space="preserve"> issues with slight variance in the bottom mounts to where the control suspension mounts to the clevis</w:t>
      </w:r>
      <w:r>
        <w:rPr>
          <w:lang w:val="en-AU"/>
        </w:rPr>
        <w:t xml:space="preserve">. </w:t>
      </w:r>
      <w:r w:rsidR="00D85781">
        <w:rPr>
          <w:lang w:val="en-AU"/>
        </w:rPr>
        <w:t>O</w:t>
      </w:r>
      <w:r w:rsidRPr="00263C76">
        <w:rPr>
          <w:lang w:val="en-AU"/>
        </w:rPr>
        <w:t xml:space="preserve">utcome here was </w:t>
      </w:r>
      <w:r w:rsidR="00D85781">
        <w:rPr>
          <w:lang w:val="en-AU"/>
        </w:rPr>
        <w:t>CERA</w:t>
      </w:r>
      <w:r w:rsidRPr="00263C76">
        <w:rPr>
          <w:lang w:val="en-AU"/>
        </w:rPr>
        <w:t xml:space="preserve"> are having continued conversations with super shock about these variations</w:t>
      </w:r>
      <w:r>
        <w:rPr>
          <w:lang w:val="en-AU"/>
        </w:rPr>
        <w:t xml:space="preserve">. </w:t>
      </w:r>
    </w:p>
    <w:p w14:paraId="18C3E4CC" w14:textId="0D1260A8" w:rsidR="00B51987" w:rsidRPr="00801887" w:rsidRDefault="00B51987" w:rsidP="00801887">
      <w:pPr>
        <w:pStyle w:val="ListParagraph"/>
        <w:rPr>
          <w:lang w:val="en-AU"/>
        </w:rPr>
      </w:pPr>
      <w:r w:rsidRPr="00801887">
        <w:rPr>
          <w:lang w:val="en-AU"/>
        </w:rPr>
        <w:t xml:space="preserve">Next meeting </w:t>
      </w:r>
      <w:r w:rsidR="0017544B" w:rsidRPr="00801887">
        <w:rPr>
          <w:lang w:val="en-AU"/>
        </w:rPr>
        <w:t xml:space="preserve">the </w:t>
      </w:r>
      <w:r w:rsidR="005D6786" w:rsidRPr="00801887">
        <w:rPr>
          <w:lang w:val="en-AU"/>
        </w:rPr>
        <w:t>11</w:t>
      </w:r>
      <w:r w:rsidR="00445EAA" w:rsidRPr="00801887">
        <w:rPr>
          <w:lang w:val="en-AU"/>
        </w:rPr>
        <w:t>th</w:t>
      </w:r>
      <w:r w:rsidR="0017544B" w:rsidRPr="00801887">
        <w:rPr>
          <w:lang w:val="en-AU"/>
        </w:rPr>
        <w:t xml:space="preserve"> of</w:t>
      </w:r>
      <w:r w:rsidR="00445EAA" w:rsidRPr="00801887">
        <w:rPr>
          <w:lang w:val="en-AU"/>
        </w:rPr>
        <w:t xml:space="preserve"> </w:t>
      </w:r>
      <w:r w:rsidR="005D6786" w:rsidRPr="00801887">
        <w:rPr>
          <w:lang w:val="en-AU"/>
        </w:rPr>
        <w:t>May</w:t>
      </w:r>
      <w:r w:rsidR="00445EAA" w:rsidRPr="00801887">
        <w:rPr>
          <w:lang w:val="en-AU"/>
        </w:rPr>
        <w:t xml:space="preserve">. </w:t>
      </w:r>
    </w:p>
    <w:bookmarkStart w:id="1" w:name="_Hlk102797250"/>
    <w:p w14:paraId="2EBAB492" w14:textId="27543ACF" w:rsidR="00781E62" w:rsidRDefault="00000000" w:rsidP="00CB078E">
      <w:pPr>
        <w:pStyle w:val="ListNumber"/>
        <w:numPr>
          <w:ilvl w:val="0"/>
          <w:numId w:val="3"/>
        </w:numPr>
      </w:pPr>
      <w:sdt>
        <w:sdtPr>
          <w:alias w:val="Adjournment:"/>
          <w:tag w:val="Adjournment:"/>
          <w:id w:val="-768846696"/>
          <w:placeholder>
            <w:docPart w:val="2AB2528C4A064EE68B9F527B747C8D58"/>
          </w:placeholder>
          <w:temporary/>
          <w:showingPlcHdr/>
        </w:sdtPr>
        <w:sdtContent>
          <w:r w:rsidR="0004049E">
            <w:t>Adjournment</w:t>
          </w:r>
        </w:sdtContent>
      </w:sdt>
      <w:bookmarkEnd w:id="1"/>
    </w:p>
    <w:p w14:paraId="18CB51FC" w14:textId="1B780BEE" w:rsidR="001E0DBC" w:rsidRDefault="00DF29BD" w:rsidP="001E0DBC">
      <w:r w:rsidRPr="00DF29BD">
        <w:t xml:space="preserve">John Broadbent adjourned the meeting at </w:t>
      </w:r>
      <w:r w:rsidR="00637783">
        <w:t>21</w:t>
      </w:r>
      <w:r w:rsidR="00E9649A">
        <w:t>:</w:t>
      </w:r>
      <w:r w:rsidR="00637783">
        <w:t>56</w:t>
      </w:r>
      <w:r w:rsidR="00E9649A">
        <w:t xml:space="preserve"> AEST</w:t>
      </w:r>
      <w:r w:rsidRPr="00DF29BD">
        <w:t xml:space="preserve">                                                      Minutes submitted by:  </w:t>
      </w:r>
      <w:r w:rsidR="00B51987">
        <w:t>Andrew Young</w:t>
      </w:r>
    </w:p>
    <w:p w14:paraId="1557D7F2" w14:textId="16E8EB48" w:rsidR="00547DB8" w:rsidRDefault="00547DB8" w:rsidP="001E0DBC">
      <w:pPr>
        <w:sectPr w:rsidR="00547DB8" w:rsidSect="00193653">
          <w:pgSz w:w="12240" w:h="15840"/>
          <w:pgMar w:top="1440" w:right="1800" w:bottom="1440" w:left="1800" w:header="720" w:footer="720" w:gutter="0"/>
          <w:cols w:space="720"/>
          <w:docGrid w:linePitch="360"/>
        </w:sectPr>
      </w:pPr>
    </w:p>
    <w:p w14:paraId="5F528E31" w14:textId="77777777" w:rsidR="0077201D" w:rsidRPr="0077201D" w:rsidRDefault="0077201D" w:rsidP="0077201D">
      <w:pPr>
        <w:spacing w:after="160" w:line="259" w:lineRule="auto"/>
        <w:ind w:left="720"/>
        <w:contextualSpacing/>
        <w:rPr>
          <w:rFonts w:ascii="Calibri" w:eastAsia="Calibri" w:hAnsi="Calibri"/>
          <w:sz w:val="22"/>
          <w:szCs w:val="22"/>
        </w:rPr>
      </w:pPr>
    </w:p>
    <w:tbl>
      <w:tblPr>
        <w:tblStyle w:val="TableGrid1"/>
        <w:tblW w:w="0" w:type="auto"/>
        <w:tblLook w:val="04A0" w:firstRow="1" w:lastRow="0" w:firstColumn="1" w:lastColumn="0" w:noHBand="0" w:noVBand="1"/>
      </w:tblPr>
      <w:tblGrid>
        <w:gridCol w:w="6289"/>
        <w:gridCol w:w="1274"/>
        <w:gridCol w:w="1067"/>
      </w:tblGrid>
      <w:tr w:rsidR="0077201D" w:rsidRPr="0077201D" w14:paraId="2F5152A7" w14:textId="77777777" w:rsidTr="0066056C">
        <w:tc>
          <w:tcPr>
            <w:tcW w:w="6658" w:type="dxa"/>
          </w:tcPr>
          <w:p w14:paraId="7D25E59C" w14:textId="77777777" w:rsidR="0077201D" w:rsidRPr="0077201D" w:rsidRDefault="0077201D" w:rsidP="0077201D">
            <w:pPr>
              <w:rPr>
                <w:rFonts w:ascii="Calibri" w:hAnsi="Calibri"/>
                <w:sz w:val="36"/>
                <w:szCs w:val="36"/>
              </w:rPr>
            </w:pPr>
            <w:r w:rsidRPr="0077201D">
              <w:rPr>
                <w:rFonts w:ascii="Calibri" w:hAnsi="Calibri"/>
                <w:sz w:val="36"/>
                <w:szCs w:val="36"/>
              </w:rPr>
              <w:t>Proposed Rule change or clarification</w:t>
            </w:r>
          </w:p>
        </w:tc>
        <w:tc>
          <w:tcPr>
            <w:tcW w:w="1275" w:type="dxa"/>
          </w:tcPr>
          <w:p w14:paraId="31E67C85" w14:textId="77777777" w:rsidR="0077201D" w:rsidRPr="0077201D" w:rsidRDefault="0077201D" w:rsidP="0077201D">
            <w:pPr>
              <w:rPr>
                <w:rFonts w:ascii="Calibri" w:hAnsi="Calibri"/>
              </w:rPr>
            </w:pPr>
            <w:r w:rsidRPr="0077201D">
              <w:rPr>
                <w:rFonts w:ascii="Calibri" w:hAnsi="Calibri"/>
              </w:rPr>
              <w:t xml:space="preserve">Nominating State </w:t>
            </w:r>
          </w:p>
        </w:tc>
        <w:tc>
          <w:tcPr>
            <w:tcW w:w="1083" w:type="dxa"/>
          </w:tcPr>
          <w:p w14:paraId="7243D50D" w14:textId="77777777" w:rsidR="0077201D" w:rsidRPr="0077201D" w:rsidRDefault="0077201D" w:rsidP="0077201D">
            <w:pPr>
              <w:rPr>
                <w:rFonts w:ascii="Calibri" w:hAnsi="Calibri"/>
              </w:rPr>
            </w:pPr>
            <w:r w:rsidRPr="0077201D">
              <w:rPr>
                <w:rFonts w:ascii="Calibri" w:hAnsi="Calibri"/>
              </w:rPr>
              <w:t xml:space="preserve">Dealt   with in past reviews </w:t>
            </w:r>
          </w:p>
        </w:tc>
      </w:tr>
      <w:tr w:rsidR="0077201D" w:rsidRPr="0077201D" w14:paraId="3C888165" w14:textId="77777777" w:rsidTr="0066056C">
        <w:tc>
          <w:tcPr>
            <w:tcW w:w="6658" w:type="dxa"/>
          </w:tcPr>
          <w:p w14:paraId="5DDC9F1E" w14:textId="77777777" w:rsidR="0077201D" w:rsidRPr="0077201D" w:rsidRDefault="0077201D" w:rsidP="0077201D">
            <w:pPr>
              <w:rPr>
                <w:rFonts w:ascii="Calibri" w:hAnsi="Calibri"/>
              </w:rPr>
            </w:pPr>
            <w:r w:rsidRPr="0077201D">
              <w:rPr>
                <w:rFonts w:ascii="Calibri" w:hAnsi="Calibri"/>
              </w:rPr>
              <w:t>Crow Cams - Part No. 0513-1 valve springs no longer available, they suggest using the Part No 0615 as a replacement</w:t>
            </w:r>
          </w:p>
        </w:tc>
        <w:tc>
          <w:tcPr>
            <w:tcW w:w="1275" w:type="dxa"/>
          </w:tcPr>
          <w:p w14:paraId="73D1228E" w14:textId="77777777" w:rsidR="0077201D" w:rsidRPr="0077201D" w:rsidRDefault="0077201D" w:rsidP="0077201D">
            <w:pPr>
              <w:rPr>
                <w:rFonts w:ascii="Calibri" w:hAnsi="Calibri"/>
              </w:rPr>
            </w:pPr>
            <w:r w:rsidRPr="0077201D">
              <w:rPr>
                <w:rFonts w:ascii="Calibri" w:hAnsi="Calibri"/>
              </w:rPr>
              <w:t>Vic</w:t>
            </w:r>
          </w:p>
        </w:tc>
        <w:tc>
          <w:tcPr>
            <w:tcW w:w="1083" w:type="dxa"/>
          </w:tcPr>
          <w:p w14:paraId="39278790" w14:textId="77777777" w:rsidR="0077201D" w:rsidRPr="0077201D" w:rsidRDefault="0077201D" w:rsidP="0077201D">
            <w:pPr>
              <w:rPr>
                <w:rFonts w:ascii="Calibri" w:hAnsi="Calibri"/>
              </w:rPr>
            </w:pPr>
          </w:p>
        </w:tc>
      </w:tr>
      <w:tr w:rsidR="0077201D" w:rsidRPr="0077201D" w14:paraId="7C1F81D1" w14:textId="77777777" w:rsidTr="0066056C">
        <w:tc>
          <w:tcPr>
            <w:tcW w:w="6658" w:type="dxa"/>
          </w:tcPr>
          <w:p w14:paraId="5BD8D09D" w14:textId="77777777" w:rsidR="0077201D" w:rsidRPr="0077201D" w:rsidRDefault="0077201D" w:rsidP="0077201D">
            <w:pPr>
              <w:rPr>
                <w:rFonts w:ascii="Calibri" w:hAnsi="Calibri"/>
              </w:rPr>
            </w:pPr>
            <w:r w:rsidRPr="0077201D">
              <w:rPr>
                <w:rFonts w:ascii="Calibri" w:hAnsi="Calibri"/>
              </w:rPr>
              <w:t xml:space="preserve">Rule 4.2 CYLINDER BLOCK/ CRANK / RODS / PISTONS (e) (ii) </w:t>
            </w:r>
          </w:p>
          <w:p w14:paraId="27C7F778" w14:textId="77777777" w:rsidR="0077201D" w:rsidRPr="0077201D" w:rsidRDefault="0077201D" w:rsidP="0077201D">
            <w:pPr>
              <w:rPr>
                <w:rFonts w:ascii="Calibri" w:hAnsi="Calibri"/>
              </w:rPr>
            </w:pPr>
            <w:r w:rsidRPr="0077201D">
              <w:rPr>
                <w:rFonts w:ascii="Calibri" w:hAnsi="Calibri"/>
              </w:rPr>
              <w:t xml:space="preserve">A minimum of one of the respective pistons and conrods must remain standard and have no material removed. </w:t>
            </w:r>
            <w:r w:rsidRPr="0077201D">
              <w:rPr>
                <w:rFonts w:ascii="Calibri" w:hAnsi="Calibri"/>
                <w:i/>
                <w:iCs/>
              </w:rPr>
              <w:t>Contradicts engine balancing procedures.</w:t>
            </w:r>
          </w:p>
        </w:tc>
        <w:tc>
          <w:tcPr>
            <w:tcW w:w="1275" w:type="dxa"/>
          </w:tcPr>
          <w:p w14:paraId="3D6D87AB" w14:textId="77777777" w:rsidR="0077201D" w:rsidRPr="0077201D" w:rsidRDefault="0077201D" w:rsidP="0077201D">
            <w:pPr>
              <w:rPr>
                <w:rFonts w:ascii="Calibri" w:hAnsi="Calibri"/>
              </w:rPr>
            </w:pPr>
            <w:r w:rsidRPr="0077201D">
              <w:rPr>
                <w:rFonts w:ascii="Calibri" w:hAnsi="Calibri"/>
              </w:rPr>
              <w:t>Vic</w:t>
            </w:r>
          </w:p>
        </w:tc>
        <w:tc>
          <w:tcPr>
            <w:tcW w:w="1083" w:type="dxa"/>
          </w:tcPr>
          <w:p w14:paraId="2DFA7321" w14:textId="77777777" w:rsidR="0077201D" w:rsidRPr="0077201D" w:rsidRDefault="0077201D" w:rsidP="0077201D">
            <w:pPr>
              <w:rPr>
                <w:rFonts w:ascii="Calibri" w:hAnsi="Calibri"/>
              </w:rPr>
            </w:pPr>
            <w:r w:rsidRPr="0077201D">
              <w:rPr>
                <w:rFonts w:ascii="Calibri" w:hAnsi="Calibri"/>
              </w:rPr>
              <w:t xml:space="preserve">Yes </w:t>
            </w:r>
          </w:p>
        </w:tc>
      </w:tr>
      <w:tr w:rsidR="0077201D" w:rsidRPr="0077201D" w14:paraId="5C55EAE8" w14:textId="77777777" w:rsidTr="0066056C">
        <w:tc>
          <w:tcPr>
            <w:tcW w:w="6658" w:type="dxa"/>
          </w:tcPr>
          <w:p w14:paraId="5FC41E0B" w14:textId="77777777" w:rsidR="0077201D" w:rsidRPr="0077201D" w:rsidRDefault="0077201D" w:rsidP="0077201D">
            <w:pPr>
              <w:rPr>
                <w:rFonts w:ascii="Calibri" w:hAnsi="Calibri"/>
              </w:rPr>
            </w:pPr>
            <w:r w:rsidRPr="0077201D">
              <w:rPr>
                <w:rFonts w:ascii="Calibri" w:hAnsi="Calibri"/>
              </w:rPr>
              <w:t>Tolerance on valve pockets.</w:t>
            </w:r>
          </w:p>
        </w:tc>
        <w:tc>
          <w:tcPr>
            <w:tcW w:w="1275" w:type="dxa"/>
          </w:tcPr>
          <w:p w14:paraId="01C1743A" w14:textId="77777777" w:rsidR="0077201D" w:rsidRPr="0077201D" w:rsidRDefault="0077201D" w:rsidP="0077201D">
            <w:pPr>
              <w:rPr>
                <w:rFonts w:ascii="Calibri" w:hAnsi="Calibri"/>
              </w:rPr>
            </w:pPr>
            <w:r w:rsidRPr="0077201D">
              <w:rPr>
                <w:rFonts w:ascii="Calibri" w:hAnsi="Calibri"/>
              </w:rPr>
              <w:t>Vic</w:t>
            </w:r>
          </w:p>
        </w:tc>
        <w:tc>
          <w:tcPr>
            <w:tcW w:w="1083" w:type="dxa"/>
          </w:tcPr>
          <w:p w14:paraId="75947B95" w14:textId="77777777" w:rsidR="0077201D" w:rsidRPr="0077201D" w:rsidRDefault="0077201D" w:rsidP="0077201D">
            <w:pPr>
              <w:rPr>
                <w:rFonts w:ascii="Calibri" w:hAnsi="Calibri"/>
              </w:rPr>
            </w:pPr>
            <w:r w:rsidRPr="0077201D">
              <w:rPr>
                <w:rFonts w:ascii="Calibri" w:hAnsi="Calibri"/>
              </w:rPr>
              <w:t xml:space="preserve">Yes </w:t>
            </w:r>
          </w:p>
        </w:tc>
      </w:tr>
      <w:tr w:rsidR="0077201D" w:rsidRPr="0077201D" w14:paraId="2EB6260D" w14:textId="77777777" w:rsidTr="0066056C">
        <w:tc>
          <w:tcPr>
            <w:tcW w:w="6658" w:type="dxa"/>
          </w:tcPr>
          <w:p w14:paraId="6721A6B6" w14:textId="77777777" w:rsidR="0077201D" w:rsidRPr="0077201D" w:rsidRDefault="0077201D" w:rsidP="0077201D">
            <w:pPr>
              <w:rPr>
                <w:rFonts w:ascii="Calibri" w:hAnsi="Calibri"/>
              </w:rPr>
            </w:pPr>
            <w:r w:rsidRPr="0077201D">
              <w:rPr>
                <w:rFonts w:ascii="Calibri" w:hAnsi="Calibri"/>
              </w:rPr>
              <w:t>Headlight and indicators replacement with useable mounting points.</w:t>
            </w:r>
          </w:p>
        </w:tc>
        <w:tc>
          <w:tcPr>
            <w:tcW w:w="1275" w:type="dxa"/>
          </w:tcPr>
          <w:p w14:paraId="11058B8E" w14:textId="77777777" w:rsidR="0077201D" w:rsidRPr="0077201D" w:rsidRDefault="0077201D" w:rsidP="0077201D">
            <w:pPr>
              <w:rPr>
                <w:rFonts w:ascii="Calibri" w:hAnsi="Calibri"/>
              </w:rPr>
            </w:pPr>
            <w:r w:rsidRPr="0077201D">
              <w:rPr>
                <w:rFonts w:ascii="Calibri" w:hAnsi="Calibri"/>
              </w:rPr>
              <w:t xml:space="preserve">SA </w:t>
            </w:r>
          </w:p>
        </w:tc>
        <w:tc>
          <w:tcPr>
            <w:tcW w:w="1083" w:type="dxa"/>
          </w:tcPr>
          <w:p w14:paraId="1CC78E98" w14:textId="77777777" w:rsidR="0077201D" w:rsidRPr="0077201D" w:rsidRDefault="0077201D" w:rsidP="0077201D">
            <w:pPr>
              <w:rPr>
                <w:rFonts w:ascii="Calibri" w:hAnsi="Calibri"/>
              </w:rPr>
            </w:pPr>
          </w:p>
        </w:tc>
      </w:tr>
      <w:tr w:rsidR="0077201D" w:rsidRPr="0077201D" w14:paraId="03FF5230" w14:textId="77777777" w:rsidTr="0066056C">
        <w:tc>
          <w:tcPr>
            <w:tcW w:w="6658" w:type="dxa"/>
          </w:tcPr>
          <w:p w14:paraId="1CDE897B" w14:textId="77777777" w:rsidR="0077201D" w:rsidRPr="0077201D" w:rsidRDefault="0077201D" w:rsidP="0077201D">
            <w:pPr>
              <w:rPr>
                <w:rFonts w:ascii="Calibri" w:hAnsi="Calibri"/>
              </w:rPr>
            </w:pPr>
            <w:r w:rsidRPr="0077201D">
              <w:rPr>
                <w:rFonts w:ascii="Calibri" w:hAnsi="Calibri"/>
              </w:rPr>
              <w:t xml:space="preserve">Production of  3D CAD Models and allow the CNC machining of the of Gearbox selector forks. </w:t>
            </w:r>
          </w:p>
        </w:tc>
        <w:tc>
          <w:tcPr>
            <w:tcW w:w="1275" w:type="dxa"/>
          </w:tcPr>
          <w:p w14:paraId="204CF579" w14:textId="77777777" w:rsidR="0077201D" w:rsidRPr="0077201D" w:rsidRDefault="0077201D" w:rsidP="0077201D">
            <w:pPr>
              <w:rPr>
                <w:rFonts w:ascii="Calibri" w:hAnsi="Calibri"/>
              </w:rPr>
            </w:pPr>
            <w:r w:rsidRPr="0077201D">
              <w:rPr>
                <w:rFonts w:ascii="Calibri" w:hAnsi="Calibri"/>
              </w:rPr>
              <w:t>SA</w:t>
            </w:r>
          </w:p>
        </w:tc>
        <w:tc>
          <w:tcPr>
            <w:tcW w:w="1083" w:type="dxa"/>
          </w:tcPr>
          <w:p w14:paraId="4371E8DE" w14:textId="77777777" w:rsidR="0077201D" w:rsidRPr="0077201D" w:rsidRDefault="0077201D" w:rsidP="0077201D">
            <w:pPr>
              <w:rPr>
                <w:rFonts w:ascii="Calibri" w:hAnsi="Calibri"/>
              </w:rPr>
            </w:pPr>
          </w:p>
        </w:tc>
      </w:tr>
      <w:tr w:rsidR="0077201D" w:rsidRPr="0077201D" w14:paraId="67F5087D" w14:textId="77777777" w:rsidTr="0066056C">
        <w:tc>
          <w:tcPr>
            <w:tcW w:w="6658" w:type="dxa"/>
          </w:tcPr>
          <w:p w14:paraId="75009E20" w14:textId="77777777" w:rsidR="0077201D" w:rsidRPr="0077201D" w:rsidRDefault="0077201D" w:rsidP="0077201D">
            <w:pPr>
              <w:rPr>
                <w:rFonts w:ascii="Calibri" w:hAnsi="Calibri"/>
              </w:rPr>
            </w:pPr>
            <w:r w:rsidRPr="0077201D">
              <w:rPr>
                <w:rFonts w:ascii="Calibri" w:hAnsi="Calibri"/>
              </w:rPr>
              <w:t xml:space="preserve">Rear Suspension Camber Stops </w:t>
            </w:r>
          </w:p>
        </w:tc>
        <w:tc>
          <w:tcPr>
            <w:tcW w:w="1275" w:type="dxa"/>
          </w:tcPr>
          <w:p w14:paraId="33BF35A6" w14:textId="77777777" w:rsidR="0077201D" w:rsidRPr="0077201D" w:rsidRDefault="0077201D" w:rsidP="0077201D">
            <w:pPr>
              <w:rPr>
                <w:rFonts w:ascii="Calibri" w:hAnsi="Calibri"/>
              </w:rPr>
            </w:pPr>
            <w:r w:rsidRPr="0077201D">
              <w:rPr>
                <w:rFonts w:ascii="Calibri" w:hAnsi="Calibri"/>
              </w:rPr>
              <w:t>SA</w:t>
            </w:r>
          </w:p>
        </w:tc>
        <w:tc>
          <w:tcPr>
            <w:tcW w:w="1083" w:type="dxa"/>
          </w:tcPr>
          <w:p w14:paraId="4979FD3E" w14:textId="77777777" w:rsidR="0077201D" w:rsidRPr="0077201D" w:rsidRDefault="0077201D" w:rsidP="0077201D">
            <w:pPr>
              <w:rPr>
                <w:rFonts w:ascii="Calibri" w:hAnsi="Calibri"/>
              </w:rPr>
            </w:pPr>
          </w:p>
        </w:tc>
      </w:tr>
      <w:tr w:rsidR="0077201D" w:rsidRPr="0077201D" w14:paraId="3AA91C5D" w14:textId="77777777" w:rsidTr="0066056C">
        <w:tc>
          <w:tcPr>
            <w:tcW w:w="6658" w:type="dxa"/>
          </w:tcPr>
          <w:p w14:paraId="3E53A2DD" w14:textId="77777777" w:rsidR="0077201D" w:rsidRPr="0077201D" w:rsidRDefault="0077201D" w:rsidP="0077201D">
            <w:pPr>
              <w:rPr>
                <w:rFonts w:ascii="Calibri" w:hAnsi="Calibri"/>
              </w:rPr>
            </w:pPr>
            <w:r w:rsidRPr="0077201D">
              <w:rPr>
                <w:rFonts w:ascii="Calibri" w:hAnsi="Calibri"/>
              </w:rPr>
              <w:t>Rule 4.3 CYLINDER HEAD / CAMSHAFT / VALVES (d)</w:t>
            </w:r>
          </w:p>
          <w:p w14:paraId="299BD100" w14:textId="77777777" w:rsidR="0077201D" w:rsidRPr="0077201D" w:rsidRDefault="0077201D" w:rsidP="0077201D">
            <w:pPr>
              <w:rPr>
                <w:rFonts w:ascii="Calibri" w:hAnsi="Calibri"/>
              </w:rPr>
            </w:pPr>
            <w:r w:rsidRPr="0077201D">
              <w:rPr>
                <w:rFonts w:ascii="Calibri" w:hAnsi="Calibri"/>
              </w:rPr>
              <w:t xml:space="preserve">It is permitted to regrind the valve seats, including over cuts and undercuts, the purpose of which is to obtain the desired valve seat width. The top cut of the valve seat is limited to a maximum overall diameter of 29.0mm for exhaust and maximum overall diameter of 32.0mm for the inlet valve seats. </w:t>
            </w:r>
          </w:p>
          <w:p w14:paraId="59ADC93C" w14:textId="77777777" w:rsidR="0077201D" w:rsidRPr="0077201D" w:rsidRDefault="0077201D" w:rsidP="0077201D">
            <w:pPr>
              <w:rPr>
                <w:rFonts w:ascii="Calibri" w:hAnsi="Calibri"/>
                <w:i/>
                <w:iCs/>
              </w:rPr>
            </w:pPr>
            <w:r w:rsidRPr="0077201D">
              <w:rPr>
                <w:rFonts w:ascii="Calibri" w:hAnsi="Calibri"/>
                <w:i/>
                <w:iCs/>
              </w:rPr>
              <w:t>Suggest a small tolerance here (0.1-0.2). Rational; heads are right on the maximum or over, depending on who and how they the head is measured. Suggest using a no go gauge to eliminate any doubt.</w:t>
            </w:r>
          </w:p>
        </w:tc>
        <w:tc>
          <w:tcPr>
            <w:tcW w:w="1275" w:type="dxa"/>
          </w:tcPr>
          <w:p w14:paraId="7B0DF3A3" w14:textId="77777777" w:rsidR="0077201D" w:rsidRPr="0077201D" w:rsidRDefault="0077201D" w:rsidP="0077201D">
            <w:pPr>
              <w:rPr>
                <w:rFonts w:ascii="Calibri" w:hAnsi="Calibri"/>
              </w:rPr>
            </w:pPr>
            <w:r w:rsidRPr="0077201D">
              <w:rPr>
                <w:rFonts w:ascii="Calibri" w:hAnsi="Calibri"/>
              </w:rPr>
              <w:t>Vic</w:t>
            </w:r>
          </w:p>
        </w:tc>
        <w:tc>
          <w:tcPr>
            <w:tcW w:w="1083" w:type="dxa"/>
          </w:tcPr>
          <w:p w14:paraId="6148A32F" w14:textId="77777777" w:rsidR="0077201D" w:rsidRPr="0077201D" w:rsidRDefault="0077201D" w:rsidP="0077201D">
            <w:pPr>
              <w:rPr>
                <w:rFonts w:ascii="Calibri" w:hAnsi="Calibri"/>
              </w:rPr>
            </w:pPr>
            <w:r w:rsidRPr="0077201D">
              <w:rPr>
                <w:rFonts w:ascii="Calibri" w:hAnsi="Calibri"/>
              </w:rPr>
              <w:t>Yes</w:t>
            </w:r>
          </w:p>
        </w:tc>
      </w:tr>
      <w:tr w:rsidR="0077201D" w:rsidRPr="0077201D" w14:paraId="28136307" w14:textId="77777777" w:rsidTr="0066056C">
        <w:tc>
          <w:tcPr>
            <w:tcW w:w="6658" w:type="dxa"/>
          </w:tcPr>
          <w:p w14:paraId="04B1F0E8" w14:textId="77777777" w:rsidR="0077201D" w:rsidRPr="0077201D" w:rsidRDefault="0077201D" w:rsidP="0077201D">
            <w:pPr>
              <w:rPr>
                <w:rFonts w:ascii="Calibri" w:hAnsi="Calibri"/>
              </w:rPr>
            </w:pPr>
            <w:r w:rsidRPr="0077201D">
              <w:rPr>
                <w:rFonts w:ascii="Calibri" w:hAnsi="Calibri"/>
              </w:rPr>
              <w:t xml:space="preserve">Rule 6 TRANSMISSION (h) </w:t>
            </w:r>
          </w:p>
          <w:p w14:paraId="3973B4F2" w14:textId="77777777" w:rsidR="0077201D" w:rsidRPr="0077201D" w:rsidRDefault="0077201D" w:rsidP="0077201D">
            <w:pPr>
              <w:rPr>
                <w:rFonts w:ascii="Calibri" w:hAnsi="Calibri"/>
                <w:i/>
                <w:iCs/>
              </w:rPr>
            </w:pPr>
            <w:r w:rsidRPr="0077201D">
              <w:rPr>
                <w:rFonts w:ascii="Calibri" w:hAnsi="Calibri"/>
              </w:rPr>
              <w:t xml:space="preserve">It is permitted to use an A4AF2 Automatic gearbox. </w:t>
            </w:r>
            <w:r w:rsidRPr="0077201D">
              <w:rPr>
                <w:rFonts w:ascii="Calibri" w:hAnsi="Calibri"/>
                <w:i/>
                <w:iCs/>
              </w:rPr>
              <w:t>Suggest adding a gear ratio chart in the appendix</w:t>
            </w:r>
          </w:p>
          <w:p w14:paraId="26F17864" w14:textId="77777777" w:rsidR="0077201D" w:rsidRPr="0077201D" w:rsidRDefault="0077201D" w:rsidP="0077201D">
            <w:pPr>
              <w:rPr>
                <w:rFonts w:ascii="Calibri" w:hAnsi="Calibri"/>
              </w:rPr>
            </w:pPr>
            <w:r w:rsidRPr="0077201D">
              <w:rPr>
                <w:rFonts w:ascii="Calibri" w:hAnsi="Calibri"/>
              </w:rPr>
              <w:t xml:space="preserve">Appendix 2 </w:t>
            </w:r>
            <w:r w:rsidRPr="0077201D">
              <w:rPr>
                <w:rFonts w:ascii="Calibri" w:hAnsi="Calibri"/>
                <w:i/>
                <w:iCs/>
              </w:rPr>
              <w:t>Add table with automatic transmission ratios</w:t>
            </w:r>
          </w:p>
        </w:tc>
        <w:tc>
          <w:tcPr>
            <w:tcW w:w="1275" w:type="dxa"/>
          </w:tcPr>
          <w:p w14:paraId="18A44AF4" w14:textId="77777777" w:rsidR="0077201D" w:rsidRPr="0077201D" w:rsidRDefault="0077201D" w:rsidP="0077201D">
            <w:pPr>
              <w:rPr>
                <w:rFonts w:ascii="Calibri" w:hAnsi="Calibri"/>
              </w:rPr>
            </w:pPr>
            <w:r w:rsidRPr="0077201D">
              <w:rPr>
                <w:rFonts w:ascii="Calibri" w:hAnsi="Calibri"/>
              </w:rPr>
              <w:t>Vic</w:t>
            </w:r>
          </w:p>
        </w:tc>
        <w:tc>
          <w:tcPr>
            <w:tcW w:w="1083" w:type="dxa"/>
          </w:tcPr>
          <w:p w14:paraId="71DC3613" w14:textId="77777777" w:rsidR="0077201D" w:rsidRPr="0077201D" w:rsidRDefault="0077201D" w:rsidP="0077201D">
            <w:pPr>
              <w:rPr>
                <w:rFonts w:ascii="Calibri" w:hAnsi="Calibri"/>
              </w:rPr>
            </w:pPr>
          </w:p>
        </w:tc>
      </w:tr>
      <w:tr w:rsidR="0077201D" w:rsidRPr="0077201D" w14:paraId="4DC5D971" w14:textId="77777777" w:rsidTr="0066056C">
        <w:tc>
          <w:tcPr>
            <w:tcW w:w="6658" w:type="dxa"/>
          </w:tcPr>
          <w:p w14:paraId="0ACABB38" w14:textId="77777777" w:rsidR="0077201D" w:rsidRPr="0077201D" w:rsidRDefault="0077201D" w:rsidP="0077201D">
            <w:pPr>
              <w:rPr>
                <w:rFonts w:ascii="Calibri" w:hAnsi="Calibri"/>
              </w:rPr>
            </w:pPr>
            <w:r w:rsidRPr="0077201D">
              <w:rPr>
                <w:rFonts w:ascii="Calibri" w:hAnsi="Calibri"/>
              </w:rPr>
              <w:t>Rule 11 SUSPENSION (</w:t>
            </w:r>
            <w:proofErr w:type="spellStart"/>
            <w:r w:rsidRPr="0077201D">
              <w:rPr>
                <w:rFonts w:ascii="Calibri" w:hAnsi="Calibri"/>
              </w:rPr>
              <w:t>i</w:t>
            </w:r>
            <w:proofErr w:type="spellEnd"/>
            <w:r w:rsidRPr="0077201D">
              <w:rPr>
                <w:rFonts w:ascii="Calibri" w:hAnsi="Calibri"/>
              </w:rPr>
              <w:t xml:space="preserve">-vi) </w:t>
            </w:r>
          </w:p>
          <w:p w14:paraId="1E7D0540" w14:textId="77777777" w:rsidR="0077201D" w:rsidRPr="0077201D" w:rsidRDefault="0077201D" w:rsidP="0077201D">
            <w:pPr>
              <w:rPr>
                <w:rFonts w:ascii="Calibri" w:hAnsi="Calibri"/>
              </w:rPr>
            </w:pPr>
            <w:r w:rsidRPr="0077201D">
              <w:rPr>
                <w:rFonts w:ascii="Calibri" w:hAnsi="Calibri"/>
                <w:i/>
                <w:iCs/>
              </w:rPr>
              <w:t>Rear anti roll bar rule needs to be defined better</w:t>
            </w:r>
          </w:p>
        </w:tc>
        <w:tc>
          <w:tcPr>
            <w:tcW w:w="1275" w:type="dxa"/>
          </w:tcPr>
          <w:p w14:paraId="3D3F1AAD" w14:textId="77777777" w:rsidR="0077201D" w:rsidRPr="0077201D" w:rsidRDefault="0077201D" w:rsidP="0077201D">
            <w:pPr>
              <w:rPr>
                <w:rFonts w:ascii="Calibri" w:hAnsi="Calibri"/>
              </w:rPr>
            </w:pPr>
            <w:r w:rsidRPr="0077201D">
              <w:rPr>
                <w:rFonts w:ascii="Calibri" w:hAnsi="Calibri"/>
              </w:rPr>
              <w:t>Vic</w:t>
            </w:r>
          </w:p>
        </w:tc>
        <w:tc>
          <w:tcPr>
            <w:tcW w:w="1083" w:type="dxa"/>
          </w:tcPr>
          <w:p w14:paraId="38EF420E" w14:textId="77777777" w:rsidR="0077201D" w:rsidRPr="0077201D" w:rsidRDefault="0077201D" w:rsidP="0077201D">
            <w:pPr>
              <w:rPr>
                <w:rFonts w:ascii="Calibri" w:hAnsi="Calibri"/>
              </w:rPr>
            </w:pPr>
            <w:r w:rsidRPr="0077201D">
              <w:rPr>
                <w:rFonts w:ascii="Calibri" w:hAnsi="Calibri"/>
              </w:rPr>
              <w:t>Yes</w:t>
            </w:r>
          </w:p>
        </w:tc>
      </w:tr>
      <w:tr w:rsidR="0077201D" w:rsidRPr="0077201D" w14:paraId="65D064BD" w14:textId="77777777" w:rsidTr="0066056C">
        <w:tc>
          <w:tcPr>
            <w:tcW w:w="6658" w:type="dxa"/>
          </w:tcPr>
          <w:p w14:paraId="3A33B365" w14:textId="77777777" w:rsidR="0077201D" w:rsidRPr="0077201D" w:rsidRDefault="0077201D" w:rsidP="0077201D">
            <w:pPr>
              <w:rPr>
                <w:rFonts w:ascii="Calibri" w:hAnsi="Calibri"/>
              </w:rPr>
            </w:pPr>
            <w:r w:rsidRPr="0077201D">
              <w:rPr>
                <w:rFonts w:ascii="Calibri" w:hAnsi="Calibri"/>
              </w:rPr>
              <w:t xml:space="preserve">Rule 12.1 GENERAL (ELECTRICAL EQUIPMENT) (f) </w:t>
            </w:r>
          </w:p>
          <w:p w14:paraId="6C760062" w14:textId="77777777" w:rsidR="0077201D" w:rsidRPr="0077201D" w:rsidRDefault="0077201D" w:rsidP="0077201D">
            <w:pPr>
              <w:rPr>
                <w:rFonts w:ascii="Calibri" w:hAnsi="Calibri"/>
              </w:rPr>
            </w:pPr>
            <w:r w:rsidRPr="0077201D">
              <w:rPr>
                <w:rFonts w:ascii="Calibri" w:hAnsi="Calibri"/>
              </w:rPr>
              <w:t>No modification to the engine wiring harness or under-dash wiring loom is permitted. It is not permitted to add any additional covering to the wiring loom (</w:t>
            </w:r>
            <w:proofErr w:type="spellStart"/>
            <w:r w:rsidRPr="0077201D">
              <w:rPr>
                <w:rFonts w:ascii="Calibri" w:hAnsi="Calibri"/>
              </w:rPr>
              <w:t>eg</w:t>
            </w:r>
            <w:proofErr w:type="spellEnd"/>
            <w:r w:rsidRPr="0077201D">
              <w:rPr>
                <w:rFonts w:ascii="Calibri" w:hAnsi="Calibri"/>
              </w:rPr>
              <w:t xml:space="preserve"> heat shrink, electrical tape, cloth tape or conduit) other than to the minimum amount required to repair a damaged wiring loom. Any wiring loom repairs must be able to be exposed for eligibility checks. </w:t>
            </w:r>
            <w:r w:rsidRPr="0077201D">
              <w:rPr>
                <w:rFonts w:ascii="Calibri" w:hAnsi="Calibri"/>
                <w:i/>
                <w:iCs/>
              </w:rPr>
              <w:t>What are we trying to achieve here? This rule tends to contradict itself. Considering these cars are over 20 years old, you could say that most have had the wiring loom under the dash modified in some form or another. Another thing to note, the wiring harness are different between the models. Automatic transmission vs manual, single cam vs twin cam, cars with electric windows and other features vs those without.</w:t>
            </w:r>
          </w:p>
        </w:tc>
        <w:tc>
          <w:tcPr>
            <w:tcW w:w="1275" w:type="dxa"/>
          </w:tcPr>
          <w:p w14:paraId="05F98F83" w14:textId="77777777" w:rsidR="0077201D" w:rsidRPr="0077201D" w:rsidRDefault="0077201D" w:rsidP="0077201D">
            <w:pPr>
              <w:rPr>
                <w:rFonts w:ascii="Calibri" w:hAnsi="Calibri"/>
              </w:rPr>
            </w:pPr>
            <w:r w:rsidRPr="0077201D">
              <w:rPr>
                <w:rFonts w:ascii="Calibri" w:hAnsi="Calibri"/>
              </w:rPr>
              <w:t>Vic</w:t>
            </w:r>
          </w:p>
        </w:tc>
        <w:tc>
          <w:tcPr>
            <w:tcW w:w="1083" w:type="dxa"/>
          </w:tcPr>
          <w:p w14:paraId="52035B3F" w14:textId="77777777" w:rsidR="0077201D" w:rsidRPr="0077201D" w:rsidRDefault="0077201D" w:rsidP="0077201D">
            <w:pPr>
              <w:rPr>
                <w:rFonts w:ascii="Calibri" w:hAnsi="Calibri"/>
              </w:rPr>
            </w:pPr>
            <w:r w:rsidRPr="0077201D">
              <w:rPr>
                <w:rFonts w:ascii="Calibri" w:hAnsi="Calibri"/>
              </w:rPr>
              <w:t>Yes</w:t>
            </w:r>
          </w:p>
        </w:tc>
      </w:tr>
      <w:tr w:rsidR="0077201D" w:rsidRPr="0077201D" w14:paraId="56E5AC01" w14:textId="77777777" w:rsidTr="0066056C">
        <w:tc>
          <w:tcPr>
            <w:tcW w:w="6658" w:type="dxa"/>
          </w:tcPr>
          <w:p w14:paraId="06B5933C" w14:textId="77777777" w:rsidR="0077201D" w:rsidRPr="0077201D" w:rsidRDefault="0077201D" w:rsidP="0077201D">
            <w:pPr>
              <w:rPr>
                <w:rFonts w:ascii="Calibri" w:hAnsi="Calibri"/>
              </w:rPr>
            </w:pPr>
            <w:r w:rsidRPr="0077201D">
              <w:rPr>
                <w:rFonts w:ascii="Calibri" w:hAnsi="Calibri"/>
              </w:rPr>
              <w:t>Rule 13.3 INTERIOR (ix)</w:t>
            </w:r>
          </w:p>
          <w:p w14:paraId="7EDE1FD6" w14:textId="77777777" w:rsidR="0077201D" w:rsidRPr="0077201D" w:rsidRDefault="0077201D" w:rsidP="0077201D">
            <w:pPr>
              <w:rPr>
                <w:rFonts w:ascii="Calibri" w:hAnsi="Calibri"/>
                <w:i/>
                <w:iCs/>
              </w:rPr>
            </w:pPr>
            <w:r w:rsidRPr="0077201D">
              <w:rPr>
                <w:rFonts w:ascii="Calibri" w:hAnsi="Calibri"/>
              </w:rPr>
              <w:lastRenderedPageBreak/>
              <w:t xml:space="preserve">It is permitted to fit a drivers footwell floorplate with maximum floor lift height of 25mm and maximum dimensions of 730mm x 530mm </w:t>
            </w:r>
            <w:r w:rsidRPr="0077201D">
              <w:rPr>
                <w:rFonts w:ascii="Calibri" w:hAnsi="Calibri"/>
                <w:i/>
                <w:iCs/>
              </w:rPr>
              <w:t>Suggest allowing the height to be more than 25mm to allow for people with short feet.</w:t>
            </w:r>
          </w:p>
          <w:p w14:paraId="2A785A0B" w14:textId="77777777" w:rsidR="0077201D" w:rsidRPr="0077201D" w:rsidRDefault="0077201D" w:rsidP="0077201D">
            <w:pPr>
              <w:rPr>
                <w:rFonts w:ascii="Calibri" w:hAnsi="Calibri"/>
              </w:rPr>
            </w:pPr>
          </w:p>
        </w:tc>
        <w:tc>
          <w:tcPr>
            <w:tcW w:w="1275" w:type="dxa"/>
          </w:tcPr>
          <w:p w14:paraId="662310DD" w14:textId="77777777" w:rsidR="0077201D" w:rsidRPr="0077201D" w:rsidRDefault="0077201D" w:rsidP="0077201D">
            <w:pPr>
              <w:rPr>
                <w:rFonts w:ascii="Calibri" w:hAnsi="Calibri"/>
              </w:rPr>
            </w:pPr>
            <w:r w:rsidRPr="0077201D">
              <w:rPr>
                <w:rFonts w:ascii="Calibri" w:hAnsi="Calibri"/>
              </w:rPr>
              <w:lastRenderedPageBreak/>
              <w:t>Vic</w:t>
            </w:r>
          </w:p>
        </w:tc>
        <w:tc>
          <w:tcPr>
            <w:tcW w:w="1083" w:type="dxa"/>
          </w:tcPr>
          <w:p w14:paraId="6A4AE951" w14:textId="77777777" w:rsidR="0077201D" w:rsidRPr="0077201D" w:rsidRDefault="0077201D" w:rsidP="0077201D">
            <w:pPr>
              <w:rPr>
                <w:rFonts w:ascii="Calibri" w:hAnsi="Calibri"/>
              </w:rPr>
            </w:pPr>
            <w:r w:rsidRPr="0077201D">
              <w:rPr>
                <w:rFonts w:ascii="Calibri" w:hAnsi="Calibri"/>
              </w:rPr>
              <w:t>Yes</w:t>
            </w:r>
          </w:p>
        </w:tc>
      </w:tr>
      <w:tr w:rsidR="0077201D" w:rsidRPr="0077201D" w14:paraId="4548D789" w14:textId="77777777" w:rsidTr="0066056C">
        <w:tc>
          <w:tcPr>
            <w:tcW w:w="6658" w:type="dxa"/>
          </w:tcPr>
          <w:p w14:paraId="44048B90" w14:textId="77777777" w:rsidR="0077201D" w:rsidRPr="0077201D" w:rsidRDefault="0077201D" w:rsidP="0077201D">
            <w:pPr>
              <w:rPr>
                <w:rFonts w:ascii="Calibri" w:hAnsi="Calibri"/>
              </w:rPr>
            </w:pPr>
            <w:r w:rsidRPr="0077201D">
              <w:rPr>
                <w:rFonts w:ascii="Calibri" w:hAnsi="Calibri"/>
              </w:rPr>
              <w:t xml:space="preserve">Appendix 1 </w:t>
            </w:r>
          </w:p>
          <w:p w14:paraId="7D6AEE0C" w14:textId="77777777" w:rsidR="0077201D" w:rsidRPr="0077201D" w:rsidRDefault="0077201D" w:rsidP="0077201D">
            <w:pPr>
              <w:rPr>
                <w:rFonts w:ascii="Calibri" w:hAnsi="Calibri"/>
              </w:rPr>
            </w:pPr>
            <w:r w:rsidRPr="0077201D">
              <w:rPr>
                <w:rFonts w:ascii="Calibri" w:hAnsi="Calibri"/>
              </w:rPr>
              <w:t xml:space="preserve">Body width – Front 1611mm (+/- 15mm) </w:t>
            </w:r>
            <w:r w:rsidRPr="0077201D">
              <w:rPr>
                <w:rFonts w:ascii="Calibri" w:hAnsi="Calibri"/>
                <w:i/>
                <w:iCs/>
              </w:rPr>
              <w:t>Has this been increased to allowed for the wheel to fit under?</w:t>
            </w:r>
          </w:p>
        </w:tc>
        <w:tc>
          <w:tcPr>
            <w:tcW w:w="1275" w:type="dxa"/>
          </w:tcPr>
          <w:p w14:paraId="0A3B414B" w14:textId="77777777" w:rsidR="0077201D" w:rsidRPr="0077201D" w:rsidRDefault="0077201D" w:rsidP="0077201D">
            <w:pPr>
              <w:rPr>
                <w:rFonts w:ascii="Calibri" w:hAnsi="Calibri"/>
              </w:rPr>
            </w:pPr>
            <w:r w:rsidRPr="0077201D">
              <w:rPr>
                <w:rFonts w:ascii="Calibri" w:hAnsi="Calibri"/>
              </w:rPr>
              <w:t>Vic</w:t>
            </w:r>
          </w:p>
        </w:tc>
        <w:tc>
          <w:tcPr>
            <w:tcW w:w="1083" w:type="dxa"/>
          </w:tcPr>
          <w:p w14:paraId="1E448256" w14:textId="77777777" w:rsidR="0077201D" w:rsidRPr="0077201D" w:rsidRDefault="0077201D" w:rsidP="0077201D">
            <w:pPr>
              <w:rPr>
                <w:rFonts w:ascii="Calibri" w:hAnsi="Calibri"/>
              </w:rPr>
            </w:pPr>
            <w:r w:rsidRPr="0077201D">
              <w:rPr>
                <w:rFonts w:ascii="Calibri" w:hAnsi="Calibri"/>
              </w:rPr>
              <w:t>Yes</w:t>
            </w:r>
          </w:p>
        </w:tc>
      </w:tr>
      <w:tr w:rsidR="0077201D" w:rsidRPr="0077201D" w14:paraId="4C762ED6" w14:textId="77777777" w:rsidTr="0066056C">
        <w:tc>
          <w:tcPr>
            <w:tcW w:w="6658" w:type="dxa"/>
          </w:tcPr>
          <w:p w14:paraId="168188C0" w14:textId="77777777" w:rsidR="0077201D" w:rsidRPr="0077201D" w:rsidRDefault="0077201D" w:rsidP="0077201D">
            <w:pPr>
              <w:rPr>
                <w:rFonts w:ascii="Calibri" w:hAnsi="Calibri"/>
              </w:rPr>
            </w:pPr>
            <w:r w:rsidRPr="0077201D">
              <w:rPr>
                <w:rFonts w:ascii="Calibri" w:hAnsi="Calibri"/>
              </w:rPr>
              <w:t xml:space="preserve">Preamble : </w:t>
            </w:r>
          </w:p>
          <w:p w14:paraId="0267E966" w14:textId="77777777" w:rsidR="0077201D" w:rsidRPr="0077201D" w:rsidRDefault="0077201D" w:rsidP="0077201D">
            <w:pPr>
              <w:rPr>
                <w:rFonts w:ascii="Calibri" w:hAnsi="Calibri"/>
              </w:rPr>
            </w:pPr>
            <w:r w:rsidRPr="0077201D">
              <w:rPr>
                <w:rFonts w:ascii="Calibri" w:hAnsi="Calibri"/>
                <w:i/>
                <w:iCs/>
              </w:rPr>
              <w:t>Current August 2020 produced tech guide is essentially just sealing document. In Sept 2020 a draft Tech Guide that offered further guidance for sections within the circuit excel regulations was produced. CERA to review previous draft and consider as basis for update to accompany the 2023 regulations.</w:t>
            </w:r>
          </w:p>
        </w:tc>
        <w:tc>
          <w:tcPr>
            <w:tcW w:w="1275" w:type="dxa"/>
          </w:tcPr>
          <w:p w14:paraId="677191A5" w14:textId="77777777" w:rsidR="0077201D" w:rsidRPr="0077201D" w:rsidRDefault="0077201D" w:rsidP="0077201D">
            <w:pPr>
              <w:rPr>
                <w:rFonts w:ascii="Calibri" w:hAnsi="Calibri"/>
              </w:rPr>
            </w:pPr>
            <w:r w:rsidRPr="0077201D">
              <w:rPr>
                <w:rFonts w:ascii="Calibri" w:hAnsi="Calibri"/>
              </w:rPr>
              <w:t>WA</w:t>
            </w:r>
          </w:p>
        </w:tc>
        <w:tc>
          <w:tcPr>
            <w:tcW w:w="1083" w:type="dxa"/>
          </w:tcPr>
          <w:p w14:paraId="0AED4B80" w14:textId="77777777" w:rsidR="0077201D" w:rsidRPr="0077201D" w:rsidRDefault="0077201D" w:rsidP="0077201D">
            <w:pPr>
              <w:rPr>
                <w:rFonts w:ascii="Calibri" w:hAnsi="Calibri"/>
              </w:rPr>
            </w:pPr>
          </w:p>
        </w:tc>
      </w:tr>
      <w:tr w:rsidR="0077201D" w:rsidRPr="0077201D" w14:paraId="29A4DA91" w14:textId="77777777" w:rsidTr="0066056C">
        <w:tc>
          <w:tcPr>
            <w:tcW w:w="6658" w:type="dxa"/>
          </w:tcPr>
          <w:p w14:paraId="6CEFB090" w14:textId="77777777" w:rsidR="0077201D" w:rsidRPr="0077201D" w:rsidRDefault="0077201D" w:rsidP="0077201D">
            <w:pPr>
              <w:rPr>
                <w:rFonts w:ascii="Calibri" w:hAnsi="Calibri"/>
              </w:rPr>
            </w:pPr>
            <w:r w:rsidRPr="0077201D">
              <w:rPr>
                <w:rFonts w:ascii="Calibri" w:hAnsi="Calibri"/>
              </w:rPr>
              <w:t>Rule 2 ELIGIBILITY (b)</w:t>
            </w:r>
          </w:p>
          <w:p w14:paraId="425588F0" w14:textId="77777777" w:rsidR="0077201D" w:rsidRPr="0077201D" w:rsidRDefault="0077201D" w:rsidP="0077201D">
            <w:pPr>
              <w:rPr>
                <w:rFonts w:ascii="Calibri" w:hAnsi="Calibri"/>
              </w:rPr>
            </w:pPr>
            <w:r w:rsidRPr="0077201D">
              <w:rPr>
                <w:rFonts w:ascii="Calibri" w:hAnsi="Calibri"/>
              </w:rPr>
              <w:t>Each engine and transmission shall be sealed only by a person as detailed in Appendix 5 of these regulations and in accordance with the sealing requirements as described in the CERA Technical Guide prior to the commencement of any competition where any the following applies:</w:t>
            </w:r>
          </w:p>
          <w:p w14:paraId="66732624" w14:textId="77777777" w:rsidR="0077201D" w:rsidRPr="0077201D" w:rsidRDefault="0077201D" w:rsidP="0077201D">
            <w:pPr>
              <w:rPr>
                <w:rFonts w:ascii="Calibri" w:hAnsi="Calibri"/>
              </w:rPr>
            </w:pPr>
            <w:r w:rsidRPr="0077201D">
              <w:rPr>
                <w:rFonts w:ascii="Calibri" w:hAnsi="Calibri"/>
              </w:rPr>
              <w:t>(</w:t>
            </w:r>
            <w:proofErr w:type="spellStart"/>
            <w:r w:rsidRPr="0077201D">
              <w:rPr>
                <w:rFonts w:ascii="Calibri" w:hAnsi="Calibri"/>
              </w:rPr>
              <w:t>i</w:t>
            </w:r>
            <w:proofErr w:type="spellEnd"/>
            <w:r w:rsidRPr="0077201D">
              <w:rPr>
                <w:rFonts w:ascii="Calibri" w:hAnsi="Calibri"/>
              </w:rPr>
              <w:t xml:space="preserve">) at a National level event i.e. (Supercar Event, Bathurst, </w:t>
            </w:r>
            <w:proofErr w:type="spellStart"/>
            <w:r w:rsidRPr="0077201D">
              <w:rPr>
                <w:rFonts w:ascii="Calibri" w:hAnsi="Calibri"/>
              </w:rPr>
              <w:t>Shannons</w:t>
            </w:r>
            <w:proofErr w:type="spellEnd"/>
            <w:r w:rsidRPr="0077201D">
              <w:rPr>
                <w:rFonts w:ascii="Calibri" w:hAnsi="Calibri"/>
              </w:rPr>
              <w:t xml:space="preserve"> Nationals and Excel Nationals)</w:t>
            </w:r>
          </w:p>
          <w:p w14:paraId="6A8B33CD" w14:textId="77777777" w:rsidR="0077201D" w:rsidRPr="0077201D" w:rsidRDefault="0077201D" w:rsidP="0077201D">
            <w:pPr>
              <w:rPr>
                <w:rFonts w:ascii="Calibri" w:hAnsi="Calibri"/>
              </w:rPr>
            </w:pPr>
            <w:r w:rsidRPr="0077201D">
              <w:rPr>
                <w:rFonts w:ascii="Calibri" w:hAnsi="Calibri"/>
              </w:rPr>
              <w:t>(ii) before the next event that the vehicle is entered into, after an event in which the automobile, during qualifying or a race, records a lap time less than 103% of the official lap record published by CERA on the official CERA website</w:t>
            </w:r>
          </w:p>
          <w:p w14:paraId="794F41EB" w14:textId="77777777" w:rsidR="0077201D" w:rsidRPr="0077201D" w:rsidRDefault="0077201D" w:rsidP="0077201D">
            <w:pPr>
              <w:rPr>
                <w:rFonts w:ascii="Calibri" w:hAnsi="Calibri"/>
                <w:i/>
                <w:iCs/>
              </w:rPr>
            </w:pPr>
            <w:r w:rsidRPr="0077201D">
              <w:rPr>
                <w:rFonts w:ascii="Calibri" w:hAnsi="Calibri"/>
                <w:i/>
                <w:iCs/>
              </w:rPr>
              <w:t>WA Comments;</w:t>
            </w:r>
          </w:p>
          <w:p w14:paraId="70A0DDA3" w14:textId="77777777" w:rsidR="0077201D" w:rsidRPr="0077201D" w:rsidRDefault="0077201D" w:rsidP="00CB078E">
            <w:pPr>
              <w:numPr>
                <w:ilvl w:val="0"/>
                <w:numId w:val="7"/>
              </w:numPr>
              <w:rPr>
                <w:rFonts w:ascii="Calibri" w:hAnsi="Calibri"/>
                <w:i/>
                <w:iCs/>
              </w:rPr>
            </w:pPr>
            <w:r w:rsidRPr="0077201D">
              <w:rPr>
                <w:rFonts w:ascii="Calibri" w:hAnsi="Calibri"/>
                <w:i/>
                <w:iCs/>
              </w:rPr>
              <w:t xml:space="preserve">This is a step backwards for the category, this category is not just about policing the top 5-10 cars. Every competitor deserves to have the certainty that they are competing against equal machinery regardless of if they are in the top 5 or fighting for 15th or 16th.  </w:t>
            </w:r>
          </w:p>
          <w:p w14:paraId="6663AD6C" w14:textId="77777777" w:rsidR="0077201D" w:rsidRPr="0077201D" w:rsidRDefault="0077201D" w:rsidP="00CB078E">
            <w:pPr>
              <w:numPr>
                <w:ilvl w:val="0"/>
                <w:numId w:val="7"/>
              </w:numPr>
              <w:rPr>
                <w:rFonts w:ascii="Calibri" w:hAnsi="Calibri"/>
                <w:i/>
                <w:iCs/>
              </w:rPr>
            </w:pPr>
            <w:r w:rsidRPr="0077201D">
              <w:rPr>
                <w:rFonts w:ascii="Calibri" w:hAnsi="Calibri"/>
                <w:i/>
                <w:iCs/>
              </w:rPr>
              <w:t>Tech Committee summary of the discussions held to support this 103% rule change required.</w:t>
            </w:r>
          </w:p>
          <w:p w14:paraId="19010824" w14:textId="77777777" w:rsidR="0077201D" w:rsidRPr="0077201D" w:rsidRDefault="0077201D" w:rsidP="00CB078E">
            <w:pPr>
              <w:numPr>
                <w:ilvl w:val="0"/>
                <w:numId w:val="7"/>
              </w:numPr>
              <w:rPr>
                <w:rFonts w:ascii="Calibri" w:hAnsi="Calibri"/>
                <w:i/>
                <w:iCs/>
              </w:rPr>
            </w:pPr>
            <w:r w:rsidRPr="0077201D">
              <w:rPr>
                <w:rFonts w:ascii="Calibri" w:hAnsi="Calibri"/>
                <w:i/>
                <w:iCs/>
              </w:rPr>
              <w:t xml:space="preserve">It is believed this originally was intended to ensure that engines competing for race wins had been subject to a full inspection when sealed. Allowed for recognition also legacy sealed engines that do not have head to block seal could be bought </w:t>
            </w:r>
            <w:proofErr w:type="spellStart"/>
            <w:r w:rsidRPr="0077201D">
              <w:rPr>
                <w:rFonts w:ascii="Calibri" w:hAnsi="Calibri"/>
                <w:i/>
                <w:iCs/>
              </w:rPr>
              <w:t>upto</w:t>
            </w:r>
            <w:proofErr w:type="spellEnd"/>
            <w:r w:rsidRPr="0077201D">
              <w:rPr>
                <w:rFonts w:ascii="Calibri" w:hAnsi="Calibri"/>
                <w:i/>
                <w:iCs/>
              </w:rPr>
              <w:t xml:space="preserve"> the full sealing spec. </w:t>
            </w:r>
          </w:p>
          <w:p w14:paraId="57A202E0" w14:textId="77777777" w:rsidR="0077201D" w:rsidRPr="0077201D" w:rsidRDefault="0077201D" w:rsidP="00CB078E">
            <w:pPr>
              <w:numPr>
                <w:ilvl w:val="0"/>
                <w:numId w:val="7"/>
              </w:numPr>
              <w:rPr>
                <w:rFonts w:ascii="Calibri" w:hAnsi="Calibri"/>
                <w:i/>
                <w:iCs/>
              </w:rPr>
            </w:pPr>
            <w:r w:rsidRPr="0077201D">
              <w:rPr>
                <w:rFonts w:ascii="Calibri" w:hAnsi="Calibri"/>
                <w:i/>
                <w:iCs/>
              </w:rPr>
              <w:t>Result of rule as included in 2022 rules is the majority of the race field now need no sealing at all.</w:t>
            </w:r>
          </w:p>
          <w:p w14:paraId="7D55353F" w14:textId="77777777" w:rsidR="0077201D" w:rsidRPr="0077201D" w:rsidRDefault="0077201D" w:rsidP="00CB078E">
            <w:pPr>
              <w:numPr>
                <w:ilvl w:val="0"/>
                <w:numId w:val="7"/>
              </w:numPr>
              <w:rPr>
                <w:rFonts w:ascii="Calibri" w:hAnsi="Calibri"/>
                <w:i/>
                <w:iCs/>
              </w:rPr>
            </w:pPr>
            <w:r w:rsidRPr="0077201D">
              <w:rPr>
                <w:rFonts w:ascii="Calibri" w:hAnsi="Calibri"/>
                <w:i/>
                <w:iCs/>
              </w:rPr>
              <w:t>WA Comments supplied to CERA in 2021 were ignored and need to be considered to clarify this rule. See 2021 suggestion below.</w:t>
            </w:r>
          </w:p>
          <w:p w14:paraId="48E8A4FA" w14:textId="77777777" w:rsidR="0077201D" w:rsidRPr="0077201D" w:rsidRDefault="0077201D" w:rsidP="0077201D">
            <w:pPr>
              <w:rPr>
                <w:rFonts w:ascii="Calibri" w:hAnsi="Calibri"/>
              </w:rPr>
            </w:pPr>
            <w:r w:rsidRPr="0077201D">
              <w:rPr>
                <w:rFonts w:ascii="Calibri" w:hAnsi="Calibri"/>
                <w:i/>
                <w:iCs/>
              </w:rPr>
              <w:t xml:space="preserve">If a competitor is within 103% of the lap record during any competition or competes at a National level event </w:t>
            </w:r>
            <w:proofErr w:type="spellStart"/>
            <w:r w:rsidRPr="0077201D">
              <w:rPr>
                <w:rFonts w:ascii="Calibri" w:hAnsi="Calibri"/>
                <w:i/>
                <w:iCs/>
              </w:rPr>
              <w:t>ie</w:t>
            </w:r>
            <w:proofErr w:type="spellEnd"/>
            <w:r w:rsidRPr="0077201D">
              <w:rPr>
                <w:rFonts w:ascii="Calibri" w:hAnsi="Calibri"/>
                <w:i/>
                <w:iCs/>
              </w:rPr>
              <w:t xml:space="preserve">; (Supercar Event, </w:t>
            </w:r>
            <w:proofErr w:type="spellStart"/>
            <w:r w:rsidRPr="0077201D">
              <w:rPr>
                <w:rFonts w:ascii="Calibri" w:hAnsi="Calibri"/>
                <w:i/>
                <w:iCs/>
              </w:rPr>
              <w:t>Shannons</w:t>
            </w:r>
            <w:proofErr w:type="spellEnd"/>
            <w:r w:rsidRPr="0077201D">
              <w:rPr>
                <w:rFonts w:ascii="Calibri" w:hAnsi="Calibri"/>
                <w:i/>
                <w:iCs/>
              </w:rPr>
              <w:t xml:space="preserve"> Nationals and Excel Nationals) the competitor </w:t>
            </w:r>
            <w:r w:rsidRPr="0077201D">
              <w:rPr>
                <w:rFonts w:ascii="Calibri" w:hAnsi="Calibri"/>
                <w:i/>
                <w:iCs/>
              </w:rPr>
              <w:lastRenderedPageBreak/>
              <w:t>must ensure their engine is “fully” sealed in accordance with the Circuit Excel Regulations. Any Partially sealed “Wrecker” engine will be subject to full sealing inspection prior to being fully sealed, any competitor who achieves a lap time within 103% of lap record for the first time and is not fully compliant will have until the next event to comply with the fully sealed requirement.</w:t>
            </w:r>
          </w:p>
        </w:tc>
        <w:tc>
          <w:tcPr>
            <w:tcW w:w="1275" w:type="dxa"/>
          </w:tcPr>
          <w:p w14:paraId="200DE4A9" w14:textId="77777777" w:rsidR="0077201D" w:rsidRPr="0077201D" w:rsidRDefault="0077201D" w:rsidP="0077201D">
            <w:pPr>
              <w:rPr>
                <w:rFonts w:ascii="Calibri" w:hAnsi="Calibri"/>
              </w:rPr>
            </w:pPr>
            <w:r w:rsidRPr="0077201D">
              <w:rPr>
                <w:rFonts w:ascii="Calibri" w:hAnsi="Calibri"/>
              </w:rPr>
              <w:lastRenderedPageBreak/>
              <w:t>WA</w:t>
            </w:r>
          </w:p>
        </w:tc>
        <w:tc>
          <w:tcPr>
            <w:tcW w:w="1083" w:type="dxa"/>
          </w:tcPr>
          <w:p w14:paraId="5009F911" w14:textId="77777777" w:rsidR="0077201D" w:rsidRPr="0077201D" w:rsidRDefault="0077201D" w:rsidP="0077201D">
            <w:pPr>
              <w:rPr>
                <w:rFonts w:ascii="Calibri" w:hAnsi="Calibri"/>
              </w:rPr>
            </w:pPr>
            <w:r w:rsidRPr="0077201D">
              <w:rPr>
                <w:rFonts w:ascii="Calibri" w:hAnsi="Calibri"/>
              </w:rPr>
              <w:t>Yes</w:t>
            </w:r>
          </w:p>
        </w:tc>
      </w:tr>
      <w:tr w:rsidR="0077201D" w:rsidRPr="0077201D" w14:paraId="1EACDAC7" w14:textId="77777777" w:rsidTr="0066056C">
        <w:tc>
          <w:tcPr>
            <w:tcW w:w="6658" w:type="dxa"/>
          </w:tcPr>
          <w:p w14:paraId="3461BAE7" w14:textId="77777777" w:rsidR="0077201D" w:rsidRPr="0077201D" w:rsidRDefault="0077201D" w:rsidP="0077201D">
            <w:pPr>
              <w:rPr>
                <w:rFonts w:ascii="Calibri" w:hAnsi="Calibri"/>
              </w:rPr>
            </w:pPr>
            <w:r w:rsidRPr="0077201D">
              <w:rPr>
                <w:rFonts w:ascii="Calibri" w:hAnsi="Calibri"/>
              </w:rPr>
              <w:t>Rule 3.</w:t>
            </w:r>
            <w:r w:rsidRPr="0077201D">
              <w:rPr>
                <w:rFonts w:ascii="Calibri" w:hAnsi="Calibri"/>
              </w:rPr>
              <w:tab/>
              <w:t>COMPONENTS</w:t>
            </w:r>
          </w:p>
          <w:p w14:paraId="244BFBAC" w14:textId="77777777" w:rsidR="0077201D" w:rsidRPr="0077201D" w:rsidRDefault="0077201D" w:rsidP="0077201D">
            <w:pPr>
              <w:rPr>
                <w:rFonts w:ascii="Calibri" w:hAnsi="Calibri"/>
              </w:rPr>
            </w:pPr>
            <w:r w:rsidRPr="0077201D">
              <w:rPr>
                <w:rFonts w:ascii="Calibri" w:hAnsi="Calibri"/>
              </w:rPr>
              <w:t>Any component of any Australian specification Excel X3 model may be used unless otherwise specified in these regulations.</w:t>
            </w:r>
          </w:p>
          <w:p w14:paraId="1202C177" w14:textId="77777777" w:rsidR="0077201D" w:rsidRPr="0077201D" w:rsidRDefault="0077201D" w:rsidP="0077201D">
            <w:pPr>
              <w:rPr>
                <w:rFonts w:ascii="Calibri" w:hAnsi="Calibri"/>
              </w:rPr>
            </w:pPr>
            <w:r w:rsidRPr="0077201D">
              <w:rPr>
                <w:rFonts w:ascii="Calibri" w:hAnsi="Calibri"/>
              </w:rPr>
              <w:t>A list of replacement components, that may comply with these regulations, can be found in the 3E Circuit Excel Technical Guide.</w:t>
            </w:r>
          </w:p>
          <w:p w14:paraId="0EC4ACC1" w14:textId="77777777" w:rsidR="0077201D" w:rsidRPr="0077201D" w:rsidRDefault="0077201D" w:rsidP="0077201D">
            <w:pPr>
              <w:rPr>
                <w:rFonts w:ascii="Calibri" w:hAnsi="Calibri"/>
                <w:i/>
                <w:iCs/>
              </w:rPr>
            </w:pPr>
            <w:r w:rsidRPr="0077201D">
              <w:rPr>
                <w:rFonts w:ascii="Calibri" w:hAnsi="Calibri"/>
                <w:i/>
                <w:iCs/>
              </w:rPr>
              <w:t>WA Comments;</w:t>
            </w:r>
          </w:p>
          <w:p w14:paraId="2A241645" w14:textId="77777777" w:rsidR="0077201D" w:rsidRPr="0077201D" w:rsidRDefault="0077201D" w:rsidP="00CB078E">
            <w:pPr>
              <w:numPr>
                <w:ilvl w:val="0"/>
                <w:numId w:val="8"/>
              </w:numPr>
              <w:rPr>
                <w:rFonts w:ascii="Calibri" w:hAnsi="Calibri"/>
                <w:i/>
                <w:iCs/>
              </w:rPr>
            </w:pPr>
            <w:r w:rsidRPr="0077201D">
              <w:rPr>
                <w:rFonts w:ascii="Calibri" w:hAnsi="Calibri"/>
                <w:i/>
                <w:iCs/>
              </w:rPr>
              <w:t>Tech Guide only has Engine Components, review Tech Guide for any further components for inclusion.</w:t>
            </w:r>
          </w:p>
          <w:p w14:paraId="45772AB6" w14:textId="77777777" w:rsidR="0077201D" w:rsidRPr="0077201D" w:rsidRDefault="0077201D" w:rsidP="00CB078E">
            <w:pPr>
              <w:numPr>
                <w:ilvl w:val="0"/>
                <w:numId w:val="8"/>
              </w:numPr>
              <w:rPr>
                <w:rFonts w:ascii="Calibri" w:hAnsi="Calibri"/>
              </w:rPr>
            </w:pPr>
            <w:r w:rsidRPr="0077201D">
              <w:rPr>
                <w:rFonts w:ascii="Calibri" w:hAnsi="Calibri"/>
                <w:i/>
                <w:iCs/>
              </w:rPr>
              <w:t>Do we need to include replacement oil pumps, non-Hyundai replacements in use?</w:t>
            </w:r>
          </w:p>
        </w:tc>
        <w:tc>
          <w:tcPr>
            <w:tcW w:w="1275" w:type="dxa"/>
          </w:tcPr>
          <w:p w14:paraId="07AE5333" w14:textId="77777777" w:rsidR="0077201D" w:rsidRPr="0077201D" w:rsidRDefault="0077201D" w:rsidP="0077201D">
            <w:pPr>
              <w:rPr>
                <w:rFonts w:ascii="Calibri" w:hAnsi="Calibri"/>
              </w:rPr>
            </w:pPr>
            <w:r w:rsidRPr="0077201D">
              <w:rPr>
                <w:rFonts w:ascii="Calibri" w:hAnsi="Calibri"/>
              </w:rPr>
              <w:t>WA</w:t>
            </w:r>
          </w:p>
        </w:tc>
        <w:tc>
          <w:tcPr>
            <w:tcW w:w="1083" w:type="dxa"/>
          </w:tcPr>
          <w:p w14:paraId="45BA7F27" w14:textId="77777777" w:rsidR="0077201D" w:rsidRPr="0077201D" w:rsidRDefault="0077201D" w:rsidP="0077201D">
            <w:pPr>
              <w:rPr>
                <w:rFonts w:ascii="Calibri" w:hAnsi="Calibri"/>
              </w:rPr>
            </w:pPr>
            <w:r w:rsidRPr="0077201D">
              <w:rPr>
                <w:rFonts w:ascii="Calibri" w:hAnsi="Calibri"/>
              </w:rPr>
              <w:t>YES</w:t>
            </w:r>
          </w:p>
        </w:tc>
      </w:tr>
      <w:tr w:rsidR="0077201D" w:rsidRPr="0077201D" w14:paraId="6AAE0742" w14:textId="77777777" w:rsidTr="0066056C">
        <w:tc>
          <w:tcPr>
            <w:tcW w:w="6658" w:type="dxa"/>
          </w:tcPr>
          <w:p w14:paraId="6851D570" w14:textId="77777777" w:rsidR="0077201D" w:rsidRPr="0077201D" w:rsidRDefault="0077201D" w:rsidP="0077201D">
            <w:pPr>
              <w:rPr>
                <w:rFonts w:ascii="Calibri" w:hAnsi="Calibri"/>
              </w:rPr>
            </w:pPr>
            <w:r w:rsidRPr="0077201D">
              <w:rPr>
                <w:rFonts w:ascii="Calibri" w:hAnsi="Calibri"/>
              </w:rPr>
              <w:t>Rule 3.2 NON-GENUINE PARTS</w:t>
            </w:r>
          </w:p>
          <w:p w14:paraId="26761F07" w14:textId="77777777" w:rsidR="0077201D" w:rsidRPr="0077201D" w:rsidRDefault="0077201D" w:rsidP="0077201D">
            <w:pPr>
              <w:rPr>
                <w:rFonts w:ascii="Calibri" w:hAnsi="Calibri"/>
              </w:rPr>
            </w:pPr>
            <w:r w:rsidRPr="0077201D">
              <w:rPr>
                <w:rFonts w:ascii="Calibri" w:hAnsi="Calibri"/>
              </w:rPr>
              <w:t>There is no restriction on the use and source of supply for all fasteners, belts, gaskets, seals, flexible hoses, piston rings, liquid carrying coolant pipes, mechanical cables, bearings, clamps, spark plugs and spark plug leads, filters, batteries and battery cables, globes and LEDs, fuses and electro mechanical relays and windscreen glass provided no modification is made to facilitate the fitment of the replacement part, and on condition that the new part has no additional function relative to the original part.</w:t>
            </w:r>
          </w:p>
          <w:p w14:paraId="1C911441" w14:textId="77777777" w:rsidR="0077201D" w:rsidRPr="0077201D" w:rsidRDefault="0077201D" w:rsidP="0077201D">
            <w:pPr>
              <w:rPr>
                <w:rFonts w:ascii="Calibri" w:hAnsi="Calibri"/>
                <w:i/>
                <w:iCs/>
              </w:rPr>
            </w:pPr>
            <w:r w:rsidRPr="0077201D">
              <w:rPr>
                <w:rFonts w:ascii="Calibri" w:hAnsi="Calibri"/>
                <w:i/>
                <w:iCs/>
              </w:rPr>
              <w:t>WA Comments;</w:t>
            </w:r>
          </w:p>
          <w:p w14:paraId="04C2CABF" w14:textId="77777777" w:rsidR="0077201D" w:rsidRPr="0077201D" w:rsidRDefault="0077201D" w:rsidP="00CB078E">
            <w:pPr>
              <w:numPr>
                <w:ilvl w:val="0"/>
                <w:numId w:val="9"/>
              </w:numPr>
              <w:rPr>
                <w:rFonts w:ascii="Calibri" w:hAnsi="Calibri"/>
                <w:i/>
                <w:iCs/>
              </w:rPr>
            </w:pPr>
            <w:r w:rsidRPr="0077201D">
              <w:rPr>
                <w:rFonts w:ascii="Calibri" w:hAnsi="Calibri"/>
                <w:i/>
                <w:iCs/>
              </w:rPr>
              <w:t>Noted that 2021 comments from WA on these proposed revisions not addressed in CERA discussions prior to rule changes being implemented.</w:t>
            </w:r>
          </w:p>
          <w:p w14:paraId="3FE8BFA7" w14:textId="77777777" w:rsidR="0077201D" w:rsidRPr="0077201D" w:rsidRDefault="0077201D" w:rsidP="00CB078E">
            <w:pPr>
              <w:numPr>
                <w:ilvl w:val="0"/>
                <w:numId w:val="9"/>
              </w:numPr>
              <w:rPr>
                <w:rFonts w:ascii="Calibri" w:hAnsi="Calibri"/>
                <w:i/>
                <w:iCs/>
              </w:rPr>
            </w:pPr>
            <w:r w:rsidRPr="0077201D">
              <w:rPr>
                <w:rFonts w:ascii="Calibri" w:hAnsi="Calibri"/>
                <w:i/>
                <w:iCs/>
              </w:rPr>
              <w:t>Piston Rings are controlled by Rule 4.2 (f) so no need to restrict in section 3.2, rules control type, size, material of rings, why supply? For deletion of piston rings from unrestricted supply we should be specify allowable suppliers and part numbers however backwards compatibility if we control suppliers may be an issue. Deletion was unnecessary</w:t>
            </w:r>
          </w:p>
          <w:p w14:paraId="5F0D4155" w14:textId="77777777" w:rsidR="0077201D" w:rsidRPr="0077201D" w:rsidRDefault="0077201D" w:rsidP="00CB078E">
            <w:pPr>
              <w:numPr>
                <w:ilvl w:val="0"/>
                <w:numId w:val="9"/>
              </w:numPr>
              <w:rPr>
                <w:rFonts w:ascii="Calibri" w:hAnsi="Calibri"/>
              </w:rPr>
            </w:pPr>
            <w:r w:rsidRPr="0077201D">
              <w:rPr>
                <w:rFonts w:ascii="Calibri" w:hAnsi="Calibri"/>
                <w:i/>
                <w:iCs/>
              </w:rPr>
              <w:t>Addition of “Coolant” to liquid carrying pipes, CERA to provide logic for this change, non-Coolant lines that should be allowed to be covered by original rule are Oil Cooler Lines, Replacement Fuel Hose, Power Steering hose if still in use, vacuum hoses.</w:t>
            </w:r>
          </w:p>
        </w:tc>
        <w:tc>
          <w:tcPr>
            <w:tcW w:w="1275" w:type="dxa"/>
          </w:tcPr>
          <w:p w14:paraId="1A9047A7" w14:textId="77777777" w:rsidR="0077201D" w:rsidRPr="0077201D" w:rsidRDefault="0077201D" w:rsidP="0077201D">
            <w:pPr>
              <w:rPr>
                <w:rFonts w:ascii="Calibri" w:hAnsi="Calibri"/>
              </w:rPr>
            </w:pPr>
            <w:r w:rsidRPr="0077201D">
              <w:rPr>
                <w:rFonts w:ascii="Calibri" w:hAnsi="Calibri"/>
              </w:rPr>
              <w:t>WA</w:t>
            </w:r>
          </w:p>
        </w:tc>
        <w:tc>
          <w:tcPr>
            <w:tcW w:w="1083" w:type="dxa"/>
          </w:tcPr>
          <w:p w14:paraId="2C19891E" w14:textId="77777777" w:rsidR="0077201D" w:rsidRPr="0077201D" w:rsidRDefault="0077201D" w:rsidP="0077201D">
            <w:pPr>
              <w:rPr>
                <w:rFonts w:ascii="Calibri" w:hAnsi="Calibri"/>
              </w:rPr>
            </w:pPr>
            <w:r w:rsidRPr="0077201D">
              <w:rPr>
                <w:rFonts w:ascii="Calibri" w:hAnsi="Calibri"/>
              </w:rPr>
              <w:t>Yes</w:t>
            </w:r>
          </w:p>
        </w:tc>
      </w:tr>
      <w:tr w:rsidR="0077201D" w:rsidRPr="0077201D" w14:paraId="1EC6F525" w14:textId="77777777" w:rsidTr="0066056C">
        <w:tc>
          <w:tcPr>
            <w:tcW w:w="6658" w:type="dxa"/>
          </w:tcPr>
          <w:p w14:paraId="31595422" w14:textId="77777777" w:rsidR="0077201D" w:rsidRPr="0077201D" w:rsidRDefault="0077201D" w:rsidP="0077201D">
            <w:pPr>
              <w:rPr>
                <w:rFonts w:ascii="Calibri" w:hAnsi="Calibri"/>
              </w:rPr>
            </w:pPr>
            <w:r w:rsidRPr="0077201D">
              <w:rPr>
                <w:rFonts w:ascii="Calibri" w:hAnsi="Calibri"/>
              </w:rPr>
              <w:t>Rule 4.1 GENERAL (ENGINE) (f)</w:t>
            </w:r>
          </w:p>
          <w:p w14:paraId="4AFD5812" w14:textId="77777777" w:rsidR="0077201D" w:rsidRPr="0077201D" w:rsidRDefault="0077201D" w:rsidP="0077201D">
            <w:pPr>
              <w:rPr>
                <w:rFonts w:ascii="Calibri" w:hAnsi="Calibri"/>
              </w:rPr>
            </w:pPr>
            <w:r w:rsidRPr="0077201D">
              <w:rPr>
                <w:rFonts w:ascii="Calibri" w:hAnsi="Calibri"/>
              </w:rPr>
              <w:t>(f) The fitment of an engine crankcase breather catch can discharging to atmosphere, compliant with schedule B is permitted. Hoses connecting the engine to the catch can must be a maximum inside diameter of 13mm. These hoses shall only be connected to the engine via the original engine breather connections. The PCV valve internal components may be removed.</w:t>
            </w:r>
          </w:p>
          <w:p w14:paraId="74287B75" w14:textId="77777777" w:rsidR="0077201D" w:rsidRPr="0077201D" w:rsidRDefault="0077201D" w:rsidP="0077201D">
            <w:pPr>
              <w:rPr>
                <w:rFonts w:ascii="Calibri" w:hAnsi="Calibri"/>
                <w:i/>
                <w:iCs/>
              </w:rPr>
            </w:pPr>
            <w:r w:rsidRPr="0077201D">
              <w:rPr>
                <w:rFonts w:ascii="Calibri" w:hAnsi="Calibri"/>
                <w:i/>
                <w:iCs/>
              </w:rPr>
              <w:lastRenderedPageBreak/>
              <w:t>WA Comments;</w:t>
            </w:r>
          </w:p>
          <w:p w14:paraId="50153E4D" w14:textId="77777777" w:rsidR="0077201D" w:rsidRPr="0077201D" w:rsidRDefault="0077201D" w:rsidP="0077201D">
            <w:pPr>
              <w:rPr>
                <w:rFonts w:ascii="Calibri" w:hAnsi="Calibri"/>
                <w:i/>
                <w:iCs/>
              </w:rPr>
            </w:pPr>
            <w:r w:rsidRPr="0077201D">
              <w:rPr>
                <w:rFonts w:ascii="Calibri" w:hAnsi="Calibri"/>
                <w:i/>
                <w:iCs/>
              </w:rPr>
              <w:t xml:space="preserve">13mm ID is too small and restrictive for engines revving over 6000rpm on a racetrack, restriction by use of unmodified connections to cam cover is adequate. </w:t>
            </w:r>
          </w:p>
          <w:p w14:paraId="5A03E11E" w14:textId="77777777" w:rsidR="0077201D" w:rsidRPr="0077201D" w:rsidRDefault="0077201D" w:rsidP="0077201D">
            <w:pPr>
              <w:rPr>
                <w:rFonts w:ascii="Calibri" w:hAnsi="Calibri"/>
              </w:rPr>
            </w:pPr>
            <w:r w:rsidRPr="0077201D">
              <w:rPr>
                <w:rFonts w:ascii="Calibri" w:hAnsi="Calibri"/>
                <w:i/>
                <w:iCs/>
              </w:rPr>
              <w:t>Suggested wording “The fitment of an engine crankcase breather discharging to a catch can, compliant with schedule B is permitted. Hoses connecting the engine to the catch can shall only be fitted to the original engine breather connections, The PCV valve internal components may be removed”</w:t>
            </w:r>
          </w:p>
        </w:tc>
        <w:tc>
          <w:tcPr>
            <w:tcW w:w="1275" w:type="dxa"/>
          </w:tcPr>
          <w:p w14:paraId="61E0313C" w14:textId="77777777" w:rsidR="0077201D" w:rsidRPr="0077201D" w:rsidRDefault="0077201D" w:rsidP="0077201D">
            <w:pPr>
              <w:rPr>
                <w:rFonts w:ascii="Calibri" w:hAnsi="Calibri"/>
              </w:rPr>
            </w:pPr>
            <w:r w:rsidRPr="0077201D">
              <w:rPr>
                <w:rFonts w:ascii="Calibri" w:hAnsi="Calibri"/>
              </w:rPr>
              <w:lastRenderedPageBreak/>
              <w:t>WA</w:t>
            </w:r>
          </w:p>
        </w:tc>
        <w:tc>
          <w:tcPr>
            <w:tcW w:w="1083" w:type="dxa"/>
          </w:tcPr>
          <w:p w14:paraId="70CDB5DE" w14:textId="77777777" w:rsidR="0077201D" w:rsidRPr="0077201D" w:rsidRDefault="0077201D" w:rsidP="0077201D">
            <w:pPr>
              <w:rPr>
                <w:rFonts w:ascii="Calibri" w:hAnsi="Calibri"/>
              </w:rPr>
            </w:pPr>
            <w:r w:rsidRPr="0077201D">
              <w:rPr>
                <w:rFonts w:ascii="Calibri" w:hAnsi="Calibri"/>
              </w:rPr>
              <w:t>Yes</w:t>
            </w:r>
          </w:p>
        </w:tc>
      </w:tr>
      <w:tr w:rsidR="0077201D" w:rsidRPr="0077201D" w14:paraId="42B69CA4" w14:textId="77777777" w:rsidTr="0066056C">
        <w:tc>
          <w:tcPr>
            <w:tcW w:w="6658" w:type="dxa"/>
          </w:tcPr>
          <w:p w14:paraId="51B74AB5" w14:textId="77777777" w:rsidR="0077201D" w:rsidRPr="0077201D" w:rsidRDefault="0077201D" w:rsidP="0077201D">
            <w:pPr>
              <w:rPr>
                <w:rFonts w:ascii="Calibri" w:hAnsi="Calibri"/>
              </w:rPr>
            </w:pPr>
            <w:r w:rsidRPr="0077201D">
              <w:rPr>
                <w:rFonts w:ascii="Calibri" w:hAnsi="Calibri"/>
              </w:rPr>
              <w:t>Rule 4.2 (b) 4.2 CYLINDER BLOCK/ CRANK / RODS / PISTONS</w:t>
            </w:r>
          </w:p>
          <w:p w14:paraId="7FB9D96B" w14:textId="77777777" w:rsidR="0077201D" w:rsidRPr="0077201D" w:rsidRDefault="0077201D" w:rsidP="0077201D">
            <w:pPr>
              <w:rPr>
                <w:rFonts w:ascii="Calibri" w:hAnsi="Calibri"/>
              </w:rPr>
            </w:pPr>
            <w:r w:rsidRPr="0077201D">
              <w:rPr>
                <w:rFonts w:ascii="Calibri" w:hAnsi="Calibri"/>
                <w:strike/>
              </w:rPr>
              <w:t>Any replacement piston must be standard in material and in each functional dimension.</w:t>
            </w:r>
            <w:r w:rsidRPr="0077201D">
              <w:rPr>
                <w:rFonts w:ascii="Calibri" w:hAnsi="Calibri"/>
              </w:rPr>
              <w:t xml:space="preserve"> Pistons are free, provided they are manufactured from cast alloy and the same as OE pistons in each functional dimension, which as a minimum will include outside diameter, crown height, dome height and shape, pin diameter, overall height, and shape and height of the original cast area including the valve reliefs. Forged pistons are not permitted. Flat top Pistons are not permitted, either original or aftermarket. Machining of any pistons is not permitted, except for the purpose of balancing. Removal of material must only be from the underside of the piston, and a minimum of one piston must remain unmodified.</w:t>
            </w:r>
          </w:p>
          <w:p w14:paraId="17D6CBA5" w14:textId="77777777" w:rsidR="0077201D" w:rsidRPr="0077201D" w:rsidRDefault="0077201D" w:rsidP="0077201D">
            <w:pPr>
              <w:rPr>
                <w:rFonts w:ascii="Calibri" w:hAnsi="Calibri"/>
                <w:i/>
                <w:iCs/>
              </w:rPr>
            </w:pPr>
            <w:r w:rsidRPr="0077201D">
              <w:rPr>
                <w:rFonts w:ascii="Calibri" w:hAnsi="Calibri"/>
                <w:i/>
                <w:iCs/>
              </w:rPr>
              <w:t>WA Comments;</w:t>
            </w:r>
          </w:p>
          <w:p w14:paraId="264F3077" w14:textId="77777777" w:rsidR="0077201D" w:rsidRPr="0077201D" w:rsidRDefault="0077201D" w:rsidP="0077201D">
            <w:pPr>
              <w:rPr>
                <w:rFonts w:ascii="Calibri" w:hAnsi="Calibri"/>
              </w:rPr>
            </w:pPr>
            <w:r w:rsidRPr="0077201D">
              <w:rPr>
                <w:rFonts w:ascii="Calibri" w:hAnsi="Calibri"/>
                <w:i/>
                <w:iCs/>
              </w:rPr>
              <w:t>Pistons Free? However, we define the brand of allowable replacement piston in Tech Guide, review rule wording, Outside diameter listed as same as OE piston, we do however allow use of oversize pistons which is controlled by dimensions in Appendix 1. Somewhat contradictory to control OD but allow oversize pistons on rebuild.</w:t>
            </w:r>
          </w:p>
        </w:tc>
        <w:tc>
          <w:tcPr>
            <w:tcW w:w="1275" w:type="dxa"/>
          </w:tcPr>
          <w:p w14:paraId="47030F8F" w14:textId="77777777" w:rsidR="0077201D" w:rsidRPr="0077201D" w:rsidRDefault="0077201D" w:rsidP="0077201D">
            <w:pPr>
              <w:rPr>
                <w:rFonts w:ascii="Calibri" w:hAnsi="Calibri"/>
              </w:rPr>
            </w:pPr>
            <w:r w:rsidRPr="0077201D">
              <w:rPr>
                <w:rFonts w:ascii="Calibri" w:hAnsi="Calibri"/>
              </w:rPr>
              <w:t>WA</w:t>
            </w:r>
          </w:p>
        </w:tc>
        <w:tc>
          <w:tcPr>
            <w:tcW w:w="1083" w:type="dxa"/>
          </w:tcPr>
          <w:p w14:paraId="5B78C1FB" w14:textId="77777777" w:rsidR="0077201D" w:rsidRPr="0077201D" w:rsidRDefault="0077201D" w:rsidP="0077201D">
            <w:pPr>
              <w:rPr>
                <w:rFonts w:ascii="Calibri" w:hAnsi="Calibri"/>
              </w:rPr>
            </w:pPr>
            <w:r w:rsidRPr="0077201D">
              <w:rPr>
                <w:rFonts w:ascii="Calibri" w:hAnsi="Calibri"/>
              </w:rPr>
              <w:t>Yes</w:t>
            </w:r>
          </w:p>
        </w:tc>
      </w:tr>
      <w:tr w:rsidR="0077201D" w:rsidRPr="0077201D" w14:paraId="5BA2DA0E" w14:textId="77777777" w:rsidTr="0066056C">
        <w:tc>
          <w:tcPr>
            <w:tcW w:w="6658" w:type="dxa"/>
          </w:tcPr>
          <w:p w14:paraId="72A40CFA" w14:textId="77777777" w:rsidR="0077201D" w:rsidRPr="0077201D" w:rsidRDefault="0077201D" w:rsidP="0077201D">
            <w:pPr>
              <w:rPr>
                <w:rFonts w:ascii="Calibri" w:hAnsi="Calibri"/>
              </w:rPr>
            </w:pPr>
            <w:r w:rsidRPr="0077201D">
              <w:rPr>
                <w:rFonts w:ascii="Calibri" w:hAnsi="Calibri"/>
              </w:rPr>
              <w:t>Rule 4.2 (e) (ii) 4.2 CYLINDER BLOCK/ CRANK / RODS / PISTONS</w:t>
            </w:r>
          </w:p>
          <w:p w14:paraId="1A92C503" w14:textId="77777777" w:rsidR="0077201D" w:rsidRPr="0077201D" w:rsidRDefault="0077201D" w:rsidP="0077201D">
            <w:pPr>
              <w:rPr>
                <w:rFonts w:ascii="Calibri" w:hAnsi="Calibri"/>
              </w:rPr>
            </w:pPr>
            <w:r w:rsidRPr="0077201D">
              <w:rPr>
                <w:rFonts w:ascii="Calibri" w:hAnsi="Calibri"/>
              </w:rPr>
              <w:t xml:space="preserve">A minimum of one of the respective pistons and conrods </w:t>
            </w:r>
            <w:r w:rsidRPr="0077201D">
              <w:rPr>
                <w:rFonts w:ascii="Calibri" w:hAnsi="Calibri"/>
                <w:strike/>
              </w:rPr>
              <w:t>components or individual aspects of the component being balanced</w:t>
            </w:r>
            <w:r w:rsidRPr="0077201D">
              <w:rPr>
                <w:rFonts w:ascii="Calibri" w:hAnsi="Calibri"/>
              </w:rPr>
              <w:t xml:space="preserve"> must remain standard and have no material removed.</w:t>
            </w:r>
          </w:p>
          <w:p w14:paraId="0B9CD70A" w14:textId="77777777" w:rsidR="0077201D" w:rsidRPr="0077201D" w:rsidRDefault="0077201D" w:rsidP="0077201D">
            <w:pPr>
              <w:rPr>
                <w:rFonts w:ascii="Calibri" w:hAnsi="Calibri"/>
                <w:i/>
                <w:iCs/>
              </w:rPr>
            </w:pPr>
            <w:r w:rsidRPr="0077201D">
              <w:rPr>
                <w:rFonts w:ascii="Calibri" w:hAnsi="Calibri"/>
                <w:i/>
                <w:iCs/>
              </w:rPr>
              <w:t>WA Comments;</w:t>
            </w:r>
          </w:p>
          <w:p w14:paraId="1AF25109" w14:textId="77777777" w:rsidR="0077201D" w:rsidRPr="0077201D" w:rsidRDefault="0077201D" w:rsidP="0077201D">
            <w:pPr>
              <w:ind w:left="720"/>
              <w:rPr>
                <w:rFonts w:ascii="Calibri" w:hAnsi="Calibri"/>
              </w:rPr>
            </w:pPr>
            <w:r w:rsidRPr="0077201D">
              <w:rPr>
                <w:rFonts w:ascii="Calibri" w:hAnsi="Calibri"/>
                <w:i/>
                <w:iCs/>
              </w:rPr>
              <w:t>Review conrod rule against the practical methodology and engine building established practice of conrod balancing, engine building input from Tech Committee required.</w:t>
            </w:r>
          </w:p>
        </w:tc>
        <w:tc>
          <w:tcPr>
            <w:tcW w:w="1275" w:type="dxa"/>
          </w:tcPr>
          <w:p w14:paraId="5D1B74CC" w14:textId="77777777" w:rsidR="0077201D" w:rsidRPr="0077201D" w:rsidRDefault="0077201D" w:rsidP="0077201D">
            <w:pPr>
              <w:rPr>
                <w:rFonts w:ascii="Calibri" w:hAnsi="Calibri"/>
              </w:rPr>
            </w:pPr>
            <w:r w:rsidRPr="0077201D">
              <w:rPr>
                <w:rFonts w:ascii="Calibri" w:hAnsi="Calibri"/>
              </w:rPr>
              <w:t>WA</w:t>
            </w:r>
          </w:p>
        </w:tc>
        <w:tc>
          <w:tcPr>
            <w:tcW w:w="1083" w:type="dxa"/>
          </w:tcPr>
          <w:p w14:paraId="015CAE99" w14:textId="77777777" w:rsidR="0077201D" w:rsidRPr="0077201D" w:rsidRDefault="0077201D" w:rsidP="0077201D">
            <w:pPr>
              <w:rPr>
                <w:rFonts w:ascii="Calibri" w:hAnsi="Calibri"/>
              </w:rPr>
            </w:pPr>
            <w:r w:rsidRPr="0077201D">
              <w:rPr>
                <w:rFonts w:ascii="Calibri" w:hAnsi="Calibri"/>
              </w:rPr>
              <w:t>Yes</w:t>
            </w:r>
          </w:p>
        </w:tc>
      </w:tr>
      <w:tr w:rsidR="0077201D" w:rsidRPr="0077201D" w14:paraId="1006C474" w14:textId="77777777" w:rsidTr="0066056C">
        <w:tc>
          <w:tcPr>
            <w:tcW w:w="6658" w:type="dxa"/>
          </w:tcPr>
          <w:p w14:paraId="119426F4" w14:textId="77777777" w:rsidR="0077201D" w:rsidRPr="0077201D" w:rsidRDefault="0077201D" w:rsidP="0077201D">
            <w:pPr>
              <w:rPr>
                <w:rFonts w:ascii="Calibri" w:hAnsi="Calibri"/>
              </w:rPr>
            </w:pPr>
            <w:r w:rsidRPr="0077201D">
              <w:rPr>
                <w:rFonts w:ascii="Calibri" w:hAnsi="Calibri"/>
              </w:rPr>
              <w:t xml:space="preserve">Rule 11 SUSPENSION (a) (iv) </w:t>
            </w:r>
          </w:p>
          <w:p w14:paraId="7BA711BD" w14:textId="77777777" w:rsidR="0077201D" w:rsidRPr="0077201D" w:rsidRDefault="0077201D" w:rsidP="0077201D">
            <w:pPr>
              <w:rPr>
                <w:rFonts w:ascii="Calibri" w:hAnsi="Calibri"/>
              </w:rPr>
            </w:pPr>
            <w:r w:rsidRPr="0077201D">
              <w:rPr>
                <w:rFonts w:ascii="Calibri" w:hAnsi="Calibri"/>
              </w:rPr>
              <w:t xml:space="preserve">The front control Supashock suspension units, including top bearing assemblies, shall only be installed in the orientation as specified by </w:t>
            </w:r>
            <w:proofErr w:type="spellStart"/>
            <w:r w:rsidRPr="0077201D">
              <w:rPr>
                <w:rFonts w:ascii="Calibri" w:hAnsi="Calibri"/>
              </w:rPr>
              <w:t>Supershock</w:t>
            </w:r>
            <w:proofErr w:type="spellEnd"/>
            <w:r w:rsidRPr="0077201D">
              <w:rPr>
                <w:rFonts w:ascii="Calibri" w:hAnsi="Calibri"/>
              </w:rPr>
              <w:t>, with the camber adjusting slots following the east-west plane of the vehicle (vehicle lateral y-axis).</w:t>
            </w:r>
          </w:p>
          <w:p w14:paraId="53607B37" w14:textId="77777777" w:rsidR="0077201D" w:rsidRPr="0077201D" w:rsidRDefault="0077201D" w:rsidP="0077201D">
            <w:pPr>
              <w:rPr>
                <w:rFonts w:ascii="Calibri" w:hAnsi="Calibri"/>
                <w:i/>
                <w:iCs/>
              </w:rPr>
            </w:pPr>
            <w:r w:rsidRPr="0077201D">
              <w:rPr>
                <w:rFonts w:ascii="Calibri" w:hAnsi="Calibri"/>
                <w:i/>
                <w:iCs/>
              </w:rPr>
              <w:t>WA Comments;</w:t>
            </w:r>
          </w:p>
          <w:p w14:paraId="3763DB0D" w14:textId="77777777" w:rsidR="0077201D" w:rsidRPr="0077201D" w:rsidRDefault="0077201D" w:rsidP="0077201D">
            <w:pPr>
              <w:ind w:left="720"/>
              <w:rPr>
                <w:rFonts w:ascii="Calibri" w:hAnsi="Calibri"/>
              </w:rPr>
            </w:pPr>
            <w:r w:rsidRPr="0077201D">
              <w:rPr>
                <w:rFonts w:ascii="Calibri" w:hAnsi="Calibri"/>
                <w:i/>
                <w:iCs/>
              </w:rPr>
              <w:t>Section needs reformat and general tidy up. Previously the package serial number was listed in Appendix 3 to provide a clear part number reference, this section should include part/number, or supplier reference, to define the package.</w:t>
            </w:r>
          </w:p>
        </w:tc>
        <w:tc>
          <w:tcPr>
            <w:tcW w:w="1275" w:type="dxa"/>
          </w:tcPr>
          <w:p w14:paraId="0CD7550C" w14:textId="77777777" w:rsidR="0077201D" w:rsidRPr="0077201D" w:rsidRDefault="0077201D" w:rsidP="0077201D">
            <w:pPr>
              <w:rPr>
                <w:rFonts w:ascii="Calibri" w:hAnsi="Calibri"/>
              </w:rPr>
            </w:pPr>
            <w:r w:rsidRPr="0077201D">
              <w:rPr>
                <w:rFonts w:ascii="Calibri" w:hAnsi="Calibri"/>
              </w:rPr>
              <w:t>WA</w:t>
            </w:r>
          </w:p>
        </w:tc>
        <w:tc>
          <w:tcPr>
            <w:tcW w:w="1083" w:type="dxa"/>
          </w:tcPr>
          <w:p w14:paraId="3BE6603C" w14:textId="77777777" w:rsidR="0077201D" w:rsidRPr="0077201D" w:rsidRDefault="0077201D" w:rsidP="0077201D">
            <w:pPr>
              <w:rPr>
                <w:rFonts w:ascii="Calibri" w:hAnsi="Calibri"/>
              </w:rPr>
            </w:pPr>
            <w:r w:rsidRPr="0077201D">
              <w:rPr>
                <w:rFonts w:ascii="Calibri" w:hAnsi="Calibri"/>
              </w:rPr>
              <w:t>Yes</w:t>
            </w:r>
          </w:p>
        </w:tc>
      </w:tr>
      <w:tr w:rsidR="0077201D" w:rsidRPr="0077201D" w14:paraId="0DF0582A" w14:textId="77777777" w:rsidTr="0066056C">
        <w:tc>
          <w:tcPr>
            <w:tcW w:w="6658" w:type="dxa"/>
          </w:tcPr>
          <w:p w14:paraId="6EAB43C5" w14:textId="77777777" w:rsidR="0077201D" w:rsidRPr="0077201D" w:rsidRDefault="0077201D" w:rsidP="0077201D">
            <w:pPr>
              <w:rPr>
                <w:rFonts w:ascii="Calibri" w:hAnsi="Calibri"/>
              </w:rPr>
            </w:pPr>
            <w:r w:rsidRPr="0077201D">
              <w:rPr>
                <w:rFonts w:ascii="Calibri" w:hAnsi="Calibri"/>
              </w:rPr>
              <w:t xml:space="preserve">Rule 11 SUSPENSION  (I) (vi) </w:t>
            </w:r>
          </w:p>
          <w:p w14:paraId="3B53CE29" w14:textId="77777777" w:rsidR="0077201D" w:rsidRPr="0077201D" w:rsidRDefault="0077201D" w:rsidP="0077201D">
            <w:pPr>
              <w:rPr>
                <w:rFonts w:ascii="Calibri" w:hAnsi="Calibri"/>
              </w:rPr>
            </w:pPr>
            <w:r w:rsidRPr="0077201D">
              <w:rPr>
                <w:rFonts w:ascii="Calibri" w:hAnsi="Calibri"/>
              </w:rPr>
              <w:lastRenderedPageBreak/>
              <w:t>It is permitted to disconnect one front and one rear sway bar link.</w:t>
            </w:r>
          </w:p>
          <w:p w14:paraId="1918BC76" w14:textId="77777777" w:rsidR="0077201D" w:rsidRPr="0077201D" w:rsidRDefault="0077201D" w:rsidP="0077201D">
            <w:pPr>
              <w:rPr>
                <w:rFonts w:ascii="Calibri" w:hAnsi="Calibri"/>
                <w:i/>
                <w:iCs/>
              </w:rPr>
            </w:pPr>
            <w:r w:rsidRPr="0077201D">
              <w:rPr>
                <w:rFonts w:ascii="Calibri" w:hAnsi="Calibri"/>
                <w:i/>
                <w:iCs/>
              </w:rPr>
              <w:t>WA Comments;</w:t>
            </w:r>
          </w:p>
          <w:p w14:paraId="6502ABDE" w14:textId="77777777" w:rsidR="0077201D" w:rsidRPr="0077201D" w:rsidRDefault="0077201D" w:rsidP="0077201D">
            <w:pPr>
              <w:ind w:left="720"/>
              <w:rPr>
                <w:rFonts w:ascii="Calibri" w:hAnsi="Calibri"/>
                <w:i/>
                <w:iCs/>
              </w:rPr>
            </w:pPr>
            <w:r w:rsidRPr="0077201D">
              <w:rPr>
                <w:rFonts w:ascii="Calibri" w:hAnsi="Calibri"/>
                <w:i/>
                <w:iCs/>
              </w:rPr>
              <w:t>Refer to WA Submission to CERA on Sway bars from Feb 2022.</w:t>
            </w:r>
          </w:p>
          <w:p w14:paraId="32885BE9" w14:textId="77777777" w:rsidR="0077201D" w:rsidRPr="0077201D" w:rsidRDefault="0077201D" w:rsidP="0077201D">
            <w:pPr>
              <w:ind w:left="720"/>
              <w:rPr>
                <w:rFonts w:ascii="Calibri" w:hAnsi="Calibri"/>
                <w:i/>
                <w:iCs/>
              </w:rPr>
            </w:pPr>
            <w:r w:rsidRPr="0077201D">
              <w:rPr>
                <w:rFonts w:ascii="Calibri" w:hAnsi="Calibri"/>
                <w:i/>
                <w:iCs/>
              </w:rPr>
              <w:t>CERA records do not document the required due diligence review was performed to change fundamental principle that adjustable rear sway bars were previously legal; and were made illegal for 2022.</w:t>
            </w:r>
          </w:p>
          <w:p w14:paraId="343AC194" w14:textId="77777777" w:rsidR="0077201D" w:rsidRPr="0077201D" w:rsidRDefault="0077201D" w:rsidP="0077201D">
            <w:pPr>
              <w:ind w:left="720"/>
              <w:rPr>
                <w:rFonts w:ascii="Calibri" w:hAnsi="Calibri"/>
                <w:i/>
                <w:iCs/>
              </w:rPr>
            </w:pPr>
            <w:r w:rsidRPr="0077201D">
              <w:rPr>
                <w:rFonts w:ascii="Calibri" w:hAnsi="Calibri"/>
                <w:i/>
                <w:iCs/>
              </w:rPr>
              <w:t>In order to make rules clear and enforceable if adjustable sway bars are confirmed as illegal, item (iv) should be reinstated to read “Adjustable sway bars of any type are ineligible”</w:t>
            </w:r>
          </w:p>
          <w:p w14:paraId="4D210CA1" w14:textId="77777777" w:rsidR="0077201D" w:rsidRPr="0077201D" w:rsidRDefault="0077201D" w:rsidP="0077201D">
            <w:pPr>
              <w:ind w:left="720"/>
              <w:rPr>
                <w:rFonts w:ascii="Calibri" w:hAnsi="Calibri"/>
                <w:i/>
                <w:iCs/>
              </w:rPr>
            </w:pPr>
            <w:r w:rsidRPr="0077201D">
              <w:rPr>
                <w:rFonts w:ascii="Calibri" w:hAnsi="Calibri"/>
                <w:i/>
                <w:iCs/>
              </w:rPr>
              <w:t>Review of (v) wording to confirm how free we want links to be.</w:t>
            </w:r>
          </w:p>
          <w:p w14:paraId="07EE495E" w14:textId="77777777" w:rsidR="0077201D" w:rsidRPr="0077201D" w:rsidRDefault="0077201D" w:rsidP="0077201D">
            <w:pPr>
              <w:rPr>
                <w:rFonts w:ascii="Calibri" w:hAnsi="Calibri"/>
              </w:rPr>
            </w:pPr>
          </w:p>
        </w:tc>
        <w:tc>
          <w:tcPr>
            <w:tcW w:w="1275" w:type="dxa"/>
          </w:tcPr>
          <w:p w14:paraId="5B815C8F" w14:textId="77777777" w:rsidR="0077201D" w:rsidRPr="0077201D" w:rsidRDefault="0077201D" w:rsidP="0077201D">
            <w:pPr>
              <w:rPr>
                <w:rFonts w:ascii="Calibri" w:hAnsi="Calibri"/>
              </w:rPr>
            </w:pPr>
          </w:p>
        </w:tc>
        <w:tc>
          <w:tcPr>
            <w:tcW w:w="1083" w:type="dxa"/>
          </w:tcPr>
          <w:p w14:paraId="0CC8C9BF" w14:textId="77777777" w:rsidR="0077201D" w:rsidRPr="0077201D" w:rsidRDefault="0077201D" w:rsidP="0077201D">
            <w:pPr>
              <w:rPr>
                <w:rFonts w:ascii="Calibri" w:hAnsi="Calibri"/>
              </w:rPr>
            </w:pPr>
          </w:p>
        </w:tc>
      </w:tr>
      <w:tr w:rsidR="0077201D" w:rsidRPr="0077201D" w14:paraId="0929E98A" w14:textId="77777777" w:rsidTr="0066056C">
        <w:tc>
          <w:tcPr>
            <w:tcW w:w="6658" w:type="dxa"/>
          </w:tcPr>
          <w:p w14:paraId="58730A70" w14:textId="77777777" w:rsidR="0077201D" w:rsidRPr="0077201D" w:rsidRDefault="0077201D" w:rsidP="0077201D">
            <w:pPr>
              <w:rPr>
                <w:rFonts w:ascii="Calibri" w:hAnsi="Calibri"/>
              </w:rPr>
            </w:pPr>
            <w:r w:rsidRPr="0077201D">
              <w:rPr>
                <w:rFonts w:ascii="Calibri" w:hAnsi="Calibri"/>
              </w:rPr>
              <w:t>Rule 12.1 GENERAL (12.</w:t>
            </w:r>
            <w:r w:rsidRPr="0077201D">
              <w:rPr>
                <w:rFonts w:ascii="Calibri" w:hAnsi="Calibri"/>
              </w:rPr>
              <w:tab/>
              <w:t xml:space="preserve">ELECTRICAL EQUIPMENT)(a) </w:t>
            </w:r>
          </w:p>
          <w:p w14:paraId="506459F5" w14:textId="77777777" w:rsidR="0077201D" w:rsidRPr="0077201D" w:rsidRDefault="0077201D" w:rsidP="0077201D">
            <w:pPr>
              <w:rPr>
                <w:rFonts w:ascii="Calibri" w:hAnsi="Calibri"/>
              </w:rPr>
            </w:pPr>
            <w:r w:rsidRPr="0077201D">
              <w:rPr>
                <w:rFonts w:ascii="Calibri" w:hAnsi="Calibri"/>
              </w:rPr>
              <w:t xml:space="preserve">A standard Australian Delivered manual Hyundai ECU, applicable to the engine type (DOHC or SOHC) must be used. No modification or addition to the ECU is permitted. The ECU diagnostic port must remain fully serviceable so that ECU sensor readings and other information can be accessed. It is recommended that the ECU </w:t>
            </w:r>
            <w:r w:rsidRPr="0077201D">
              <w:rPr>
                <w:rFonts w:ascii="Calibri" w:hAnsi="Calibri"/>
                <w:strike/>
              </w:rPr>
              <w:t>may</w:t>
            </w:r>
            <w:r w:rsidRPr="0077201D">
              <w:rPr>
                <w:rFonts w:ascii="Calibri" w:hAnsi="Calibri"/>
              </w:rPr>
              <w:t xml:space="preserve"> be relocated to the right front kick-panel or the steering column provided no modification to the ECU harness is made. The ECU may be interchanged with another ECU of a competing automobile or sample ECU at any time during competition.</w:t>
            </w:r>
          </w:p>
          <w:p w14:paraId="34DBDBBB" w14:textId="77777777" w:rsidR="0077201D" w:rsidRPr="0077201D" w:rsidRDefault="0077201D" w:rsidP="0077201D">
            <w:pPr>
              <w:rPr>
                <w:rFonts w:ascii="Calibri" w:hAnsi="Calibri"/>
                <w:i/>
                <w:iCs/>
              </w:rPr>
            </w:pPr>
            <w:r w:rsidRPr="0077201D">
              <w:rPr>
                <w:rFonts w:ascii="Calibri" w:hAnsi="Calibri"/>
                <w:i/>
                <w:iCs/>
              </w:rPr>
              <w:t>WA Comments;</w:t>
            </w:r>
          </w:p>
          <w:p w14:paraId="71895299" w14:textId="77777777" w:rsidR="0077201D" w:rsidRPr="0077201D" w:rsidRDefault="0077201D" w:rsidP="00CB078E">
            <w:pPr>
              <w:numPr>
                <w:ilvl w:val="0"/>
                <w:numId w:val="10"/>
              </w:numPr>
              <w:rPr>
                <w:rFonts w:ascii="Calibri" w:hAnsi="Calibri"/>
                <w:i/>
                <w:iCs/>
              </w:rPr>
            </w:pPr>
            <w:r w:rsidRPr="0077201D">
              <w:rPr>
                <w:rFonts w:ascii="Calibri" w:hAnsi="Calibri"/>
                <w:i/>
                <w:iCs/>
              </w:rPr>
              <w:t>Some vehicles have been noted with ECU’s relocated to centre or left of car, can this be done without modification to ECU Harness?</w:t>
            </w:r>
          </w:p>
          <w:p w14:paraId="3C32A43B" w14:textId="77777777" w:rsidR="0077201D" w:rsidRPr="0077201D" w:rsidRDefault="0077201D" w:rsidP="00CB078E">
            <w:pPr>
              <w:numPr>
                <w:ilvl w:val="0"/>
                <w:numId w:val="10"/>
              </w:numPr>
              <w:rPr>
                <w:rFonts w:ascii="Calibri" w:hAnsi="Calibri"/>
              </w:rPr>
            </w:pPr>
            <w:r w:rsidRPr="0077201D">
              <w:rPr>
                <w:rFonts w:ascii="Calibri" w:hAnsi="Calibri"/>
                <w:i/>
                <w:iCs/>
              </w:rPr>
              <w:t xml:space="preserve">Noted that TRACK ATTACK rules state </w:t>
            </w:r>
            <w:r w:rsidRPr="0077201D">
              <w:rPr>
                <w:rFonts w:ascii="Calibri" w:hAnsi="Calibri"/>
                <w:bCs/>
                <w:i/>
                <w:iCs/>
              </w:rPr>
              <w:t>“For ease of removal it is helpful but not mandatory to mount your ECU on the side of tunnel or firewall of passenger side”</w:t>
            </w:r>
            <w:r w:rsidRPr="0077201D">
              <w:rPr>
                <w:rFonts w:ascii="Calibri" w:hAnsi="Calibri"/>
                <w:i/>
                <w:iCs/>
              </w:rPr>
              <w:t xml:space="preserve"> Need to understand suitability of vehicles transferring between competitions, are TRACK ATTACK cars getting harness mods to allow this?</w:t>
            </w:r>
          </w:p>
        </w:tc>
        <w:tc>
          <w:tcPr>
            <w:tcW w:w="1275" w:type="dxa"/>
          </w:tcPr>
          <w:p w14:paraId="7DD32D98" w14:textId="77777777" w:rsidR="0077201D" w:rsidRPr="0077201D" w:rsidRDefault="0077201D" w:rsidP="0077201D">
            <w:pPr>
              <w:rPr>
                <w:rFonts w:ascii="Calibri" w:hAnsi="Calibri"/>
              </w:rPr>
            </w:pPr>
            <w:r w:rsidRPr="0077201D">
              <w:rPr>
                <w:rFonts w:ascii="Calibri" w:hAnsi="Calibri"/>
              </w:rPr>
              <w:t>WA</w:t>
            </w:r>
          </w:p>
        </w:tc>
        <w:tc>
          <w:tcPr>
            <w:tcW w:w="1083" w:type="dxa"/>
          </w:tcPr>
          <w:p w14:paraId="298908F8" w14:textId="77777777" w:rsidR="0077201D" w:rsidRPr="0077201D" w:rsidRDefault="0077201D" w:rsidP="0077201D">
            <w:pPr>
              <w:rPr>
                <w:rFonts w:ascii="Calibri" w:hAnsi="Calibri"/>
              </w:rPr>
            </w:pPr>
            <w:r w:rsidRPr="0077201D">
              <w:rPr>
                <w:rFonts w:ascii="Calibri" w:hAnsi="Calibri"/>
              </w:rPr>
              <w:t>Yes</w:t>
            </w:r>
          </w:p>
        </w:tc>
      </w:tr>
      <w:tr w:rsidR="0077201D" w:rsidRPr="0077201D" w14:paraId="66B9C279" w14:textId="77777777" w:rsidTr="0066056C">
        <w:tc>
          <w:tcPr>
            <w:tcW w:w="6658" w:type="dxa"/>
          </w:tcPr>
          <w:p w14:paraId="27F105A3" w14:textId="77777777" w:rsidR="0077201D" w:rsidRPr="0077201D" w:rsidRDefault="0077201D" w:rsidP="0077201D">
            <w:pPr>
              <w:rPr>
                <w:rFonts w:ascii="Calibri" w:hAnsi="Calibri"/>
              </w:rPr>
            </w:pPr>
            <w:r w:rsidRPr="0077201D">
              <w:rPr>
                <w:rFonts w:ascii="Calibri" w:hAnsi="Calibri"/>
              </w:rPr>
              <w:t>Rule 13.3 (f) (ix) INTERIOR</w:t>
            </w:r>
          </w:p>
          <w:p w14:paraId="64720206" w14:textId="77777777" w:rsidR="0077201D" w:rsidRPr="0077201D" w:rsidRDefault="0077201D" w:rsidP="0077201D">
            <w:pPr>
              <w:rPr>
                <w:rFonts w:ascii="Calibri" w:hAnsi="Calibri"/>
              </w:rPr>
            </w:pPr>
            <w:r w:rsidRPr="0077201D">
              <w:rPr>
                <w:rFonts w:ascii="Calibri" w:hAnsi="Calibri"/>
              </w:rPr>
              <w:t>It is permitted to fit a drivers footwell floorplate with maximum floor lift height of 25mm and maximum dimensions of 730mm x 530mm.</w:t>
            </w:r>
          </w:p>
          <w:p w14:paraId="04C488C9" w14:textId="77777777" w:rsidR="0077201D" w:rsidRPr="0077201D" w:rsidRDefault="0077201D" w:rsidP="0077201D">
            <w:pPr>
              <w:rPr>
                <w:rFonts w:ascii="Calibri" w:hAnsi="Calibri"/>
                <w:i/>
                <w:iCs/>
              </w:rPr>
            </w:pPr>
            <w:r w:rsidRPr="0077201D">
              <w:rPr>
                <w:rFonts w:ascii="Calibri" w:hAnsi="Calibri"/>
                <w:i/>
                <w:iCs/>
              </w:rPr>
              <w:t>WA Comments;</w:t>
            </w:r>
          </w:p>
          <w:p w14:paraId="02C02A04" w14:textId="77777777" w:rsidR="0077201D" w:rsidRPr="0077201D" w:rsidRDefault="0077201D" w:rsidP="00CB078E">
            <w:pPr>
              <w:numPr>
                <w:ilvl w:val="0"/>
                <w:numId w:val="11"/>
              </w:numPr>
              <w:rPr>
                <w:rFonts w:ascii="Calibri" w:hAnsi="Calibri"/>
                <w:i/>
                <w:iCs/>
              </w:rPr>
            </w:pPr>
            <w:r w:rsidRPr="0077201D">
              <w:rPr>
                <w:rFonts w:ascii="Calibri" w:hAnsi="Calibri"/>
                <w:i/>
                <w:iCs/>
              </w:rPr>
              <w:t>Footwell floorplates have been in use since inception of the category, why was this dimensional constraint introduced for something that is a non-performance item and potentially means an existing competitor may now have an illegal floor tray. Some competitors have trays formed to address ergonomic issues to suit their own physical characteristics.</w:t>
            </w:r>
          </w:p>
        </w:tc>
        <w:tc>
          <w:tcPr>
            <w:tcW w:w="1275" w:type="dxa"/>
          </w:tcPr>
          <w:p w14:paraId="21188843" w14:textId="77777777" w:rsidR="0077201D" w:rsidRPr="0077201D" w:rsidRDefault="0077201D" w:rsidP="0077201D">
            <w:pPr>
              <w:rPr>
                <w:rFonts w:ascii="Calibri" w:hAnsi="Calibri"/>
              </w:rPr>
            </w:pPr>
            <w:r w:rsidRPr="0077201D">
              <w:rPr>
                <w:rFonts w:ascii="Calibri" w:hAnsi="Calibri"/>
              </w:rPr>
              <w:t>WA</w:t>
            </w:r>
          </w:p>
        </w:tc>
        <w:tc>
          <w:tcPr>
            <w:tcW w:w="1083" w:type="dxa"/>
          </w:tcPr>
          <w:p w14:paraId="45303DA5" w14:textId="77777777" w:rsidR="0077201D" w:rsidRPr="0077201D" w:rsidRDefault="0077201D" w:rsidP="0077201D">
            <w:pPr>
              <w:rPr>
                <w:rFonts w:ascii="Calibri" w:hAnsi="Calibri"/>
              </w:rPr>
            </w:pPr>
            <w:r w:rsidRPr="0077201D">
              <w:rPr>
                <w:rFonts w:ascii="Calibri" w:hAnsi="Calibri"/>
              </w:rPr>
              <w:t>Yes</w:t>
            </w:r>
          </w:p>
        </w:tc>
      </w:tr>
      <w:tr w:rsidR="0077201D" w:rsidRPr="0077201D" w14:paraId="1EB653CC" w14:textId="77777777" w:rsidTr="0066056C">
        <w:tc>
          <w:tcPr>
            <w:tcW w:w="6658" w:type="dxa"/>
          </w:tcPr>
          <w:p w14:paraId="7F668C7F" w14:textId="77777777" w:rsidR="0077201D" w:rsidRPr="0077201D" w:rsidRDefault="0077201D" w:rsidP="0077201D">
            <w:pPr>
              <w:rPr>
                <w:rFonts w:ascii="Calibri" w:hAnsi="Calibri"/>
              </w:rPr>
            </w:pPr>
            <w:r w:rsidRPr="0077201D">
              <w:rPr>
                <w:rFonts w:ascii="Calibri" w:hAnsi="Calibri"/>
              </w:rPr>
              <w:lastRenderedPageBreak/>
              <w:t>Appendix 1</w:t>
            </w:r>
          </w:p>
          <w:p w14:paraId="1C28DD99" w14:textId="77777777" w:rsidR="0077201D" w:rsidRPr="0077201D" w:rsidRDefault="0077201D" w:rsidP="0077201D">
            <w:pPr>
              <w:rPr>
                <w:rFonts w:ascii="Calibri" w:hAnsi="Calibri"/>
                <w:i/>
                <w:iCs/>
              </w:rPr>
            </w:pPr>
            <w:r w:rsidRPr="0077201D">
              <w:rPr>
                <w:rFonts w:ascii="Calibri" w:hAnsi="Calibri"/>
                <w:i/>
                <w:iCs/>
              </w:rPr>
              <w:t>WA Comments;</w:t>
            </w:r>
          </w:p>
          <w:p w14:paraId="66C9FAFD" w14:textId="77777777" w:rsidR="0077201D" w:rsidRPr="0077201D" w:rsidRDefault="0077201D" w:rsidP="00CB078E">
            <w:pPr>
              <w:numPr>
                <w:ilvl w:val="0"/>
                <w:numId w:val="11"/>
              </w:numPr>
              <w:rPr>
                <w:rFonts w:ascii="Calibri" w:hAnsi="Calibri"/>
              </w:rPr>
            </w:pPr>
            <w:r w:rsidRPr="0077201D">
              <w:rPr>
                <w:rFonts w:ascii="Calibri" w:hAnsi="Calibri"/>
                <w:i/>
                <w:iCs/>
              </w:rPr>
              <w:t>Where is the technical discussion on revised tolerances in this table recorded/</w:t>
            </w:r>
            <w:proofErr w:type="spellStart"/>
            <w:r w:rsidRPr="0077201D">
              <w:rPr>
                <w:rFonts w:ascii="Calibri" w:hAnsi="Calibri"/>
                <w:i/>
                <w:iCs/>
              </w:rPr>
              <w:t>minuted</w:t>
            </w:r>
            <w:proofErr w:type="spellEnd"/>
            <w:r w:rsidRPr="0077201D">
              <w:rPr>
                <w:rFonts w:ascii="Calibri" w:hAnsi="Calibri"/>
                <w:i/>
                <w:iCs/>
              </w:rPr>
              <w:t>, what was cause for these changes.</w:t>
            </w:r>
          </w:p>
        </w:tc>
        <w:tc>
          <w:tcPr>
            <w:tcW w:w="1275" w:type="dxa"/>
          </w:tcPr>
          <w:p w14:paraId="6DAEB5E4" w14:textId="77777777" w:rsidR="0077201D" w:rsidRPr="0077201D" w:rsidRDefault="0077201D" w:rsidP="0077201D">
            <w:pPr>
              <w:rPr>
                <w:rFonts w:ascii="Calibri" w:hAnsi="Calibri"/>
              </w:rPr>
            </w:pPr>
            <w:r w:rsidRPr="0077201D">
              <w:rPr>
                <w:rFonts w:ascii="Calibri" w:hAnsi="Calibri"/>
              </w:rPr>
              <w:t>WA</w:t>
            </w:r>
          </w:p>
        </w:tc>
        <w:tc>
          <w:tcPr>
            <w:tcW w:w="1083" w:type="dxa"/>
          </w:tcPr>
          <w:p w14:paraId="6284E0F0" w14:textId="77777777" w:rsidR="0077201D" w:rsidRPr="0077201D" w:rsidRDefault="0077201D" w:rsidP="0077201D">
            <w:pPr>
              <w:rPr>
                <w:rFonts w:ascii="Calibri" w:hAnsi="Calibri"/>
              </w:rPr>
            </w:pPr>
          </w:p>
        </w:tc>
      </w:tr>
      <w:tr w:rsidR="0077201D" w:rsidRPr="0077201D" w14:paraId="55B5A978" w14:textId="77777777" w:rsidTr="0066056C">
        <w:tc>
          <w:tcPr>
            <w:tcW w:w="6658" w:type="dxa"/>
          </w:tcPr>
          <w:p w14:paraId="53B96F35" w14:textId="77777777" w:rsidR="0077201D" w:rsidRPr="0077201D" w:rsidRDefault="0077201D" w:rsidP="0077201D">
            <w:pPr>
              <w:rPr>
                <w:rFonts w:ascii="Calibri" w:hAnsi="Calibri"/>
              </w:rPr>
            </w:pPr>
            <w:r w:rsidRPr="0077201D">
              <w:rPr>
                <w:rFonts w:ascii="Calibri" w:hAnsi="Calibri"/>
              </w:rPr>
              <w:t xml:space="preserve">Appendix 5 </w:t>
            </w:r>
          </w:p>
          <w:p w14:paraId="0BEC23A4" w14:textId="77777777" w:rsidR="0077201D" w:rsidRPr="0077201D" w:rsidRDefault="0077201D" w:rsidP="0077201D">
            <w:pPr>
              <w:rPr>
                <w:rFonts w:ascii="Calibri" w:hAnsi="Calibri"/>
                <w:i/>
                <w:iCs/>
              </w:rPr>
            </w:pPr>
            <w:r w:rsidRPr="0077201D">
              <w:rPr>
                <w:rFonts w:ascii="Calibri" w:hAnsi="Calibri"/>
                <w:i/>
                <w:iCs/>
              </w:rPr>
              <w:t>WA Comments;</w:t>
            </w:r>
          </w:p>
          <w:p w14:paraId="7D2006D1" w14:textId="77777777" w:rsidR="0077201D" w:rsidRPr="0077201D" w:rsidRDefault="0077201D" w:rsidP="00CB078E">
            <w:pPr>
              <w:numPr>
                <w:ilvl w:val="0"/>
                <w:numId w:val="11"/>
              </w:numPr>
              <w:rPr>
                <w:rFonts w:ascii="Calibri" w:hAnsi="Calibri"/>
              </w:rPr>
            </w:pPr>
            <w:r w:rsidRPr="0077201D">
              <w:rPr>
                <w:rFonts w:ascii="Calibri" w:hAnsi="Calibri"/>
                <w:i/>
                <w:iCs/>
              </w:rPr>
              <w:t xml:space="preserve">Can this be enhanced to include eligibility officers </w:t>
            </w:r>
          </w:p>
        </w:tc>
        <w:tc>
          <w:tcPr>
            <w:tcW w:w="1275" w:type="dxa"/>
          </w:tcPr>
          <w:p w14:paraId="50B281A0" w14:textId="77777777" w:rsidR="0077201D" w:rsidRPr="0077201D" w:rsidRDefault="0077201D" w:rsidP="0077201D">
            <w:pPr>
              <w:rPr>
                <w:rFonts w:ascii="Calibri" w:hAnsi="Calibri"/>
              </w:rPr>
            </w:pPr>
            <w:r w:rsidRPr="0077201D">
              <w:rPr>
                <w:rFonts w:ascii="Calibri" w:hAnsi="Calibri"/>
              </w:rPr>
              <w:t>WA</w:t>
            </w:r>
          </w:p>
        </w:tc>
        <w:tc>
          <w:tcPr>
            <w:tcW w:w="1083" w:type="dxa"/>
          </w:tcPr>
          <w:p w14:paraId="6B23C125" w14:textId="77777777" w:rsidR="0077201D" w:rsidRPr="0077201D" w:rsidRDefault="0077201D" w:rsidP="0077201D">
            <w:pPr>
              <w:rPr>
                <w:rFonts w:ascii="Calibri" w:hAnsi="Calibri"/>
              </w:rPr>
            </w:pPr>
          </w:p>
        </w:tc>
      </w:tr>
      <w:tr w:rsidR="0077201D" w:rsidRPr="0077201D" w14:paraId="180057E0" w14:textId="77777777" w:rsidTr="0066056C">
        <w:tc>
          <w:tcPr>
            <w:tcW w:w="6658" w:type="dxa"/>
          </w:tcPr>
          <w:p w14:paraId="35333257" w14:textId="77777777" w:rsidR="0077201D" w:rsidRPr="0077201D" w:rsidRDefault="0077201D" w:rsidP="0077201D">
            <w:pPr>
              <w:rPr>
                <w:rFonts w:ascii="Calibri" w:hAnsi="Calibri"/>
              </w:rPr>
            </w:pPr>
            <w:r w:rsidRPr="0077201D">
              <w:rPr>
                <w:rFonts w:ascii="Calibri" w:hAnsi="Calibri"/>
              </w:rPr>
              <w:t xml:space="preserve">Appendix 7 </w:t>
            </w:r>
          </w:p>
          <w:p w14:paraId="081F13F8" w14:textId="77777777" w:rsidR="0077201D" w:rsidRPr="0077201D" w:rsidRDefault="0077201D" w:rsidP="0077201D">
            <w:pPr>
              <w:rPr>
                <w:rFonts w:ascii="Calibri" w:hAnsi="Calibri"/>
                <w:i/>
                <w:iCs/>
              </w:rPr>
            </w:pPr>
            <w:r w:rsidRPr="0077201D">
              <w:rPr>
                <w:rFonts w:ascii="Calibri" w:hAnsi="Calibri"/>
                <w:i/>
                <w:iCs/>
              </w:rPr>
              <w:t>WA Comments;</w:t>
            </w:r>
          </w:p>
          <w:p w14:paraId="2B4DB4D6" w14:textId="77777777" w:rsidR="0077201D" w:rsidRPr="0077201D" w:rsidRDefault="0077201D" w:rsidP="00CB078E">
            <w:pPr>
              <w:numPr>
                <w:ilvl w:val="0"/>
                <w:numId w:val="11"/>
              </w:numPr>
              <w:rPr>
                <w:rFonts w:ascii="Calibri" w:hAnsi="Calibri"/>
                <w:i/>
                <w:iCs/>
              </w:rPr>
            </w:pPr>
            <w:r w:rsidRPr="0077201D">
              <w:rPr>
                <w:rFonts w:ascii="Calibri" w:hAnsi="Calibri"/>
                <w:i/>
                <w:iCs/>
              </w:rPr>
              <w:t>Add picture including machined down bearing cap for information</w:t>
            </w:r>
          </w:p>
        </w:tc>
        <w:tc>
          <w:tcPr>
            <w:tcW w:w="1275" w:type="dxa"/>
          </w:tcPr>
          <w:p w14:paraId="5F1F41DE" w14:textId="77777777" w:rsidR="0077201D" w:rsidRPr="0077201D" w:rsidRDefault="0077201D" w:rsidP="0077201D">
            <w:pPr>
              <w:rPr>
                <w:rFonts w:ascii="Calibri" w:hAnsi="Calibri"/>
              </w:rPr>
            </w:pPr>
            <w:r w:rsidRPr="0077201D">
              <w:rPr>
                <w:rFonts w:ascii="Calibri" w:hAnsi="Calibri"/>
              </w:rPr>
              <w:t>WA</w:t>
            </w:r>
          </w:p>
        </w:tc>
        <w:tc>
          <w:tcPr>
            <w:tcW w:w="1083" w:type="dxa"/>
          </w:tcPr>
          <w:p w14:paraId="4D2ED078" w14:textId="77777777" w:rsidR="0077201D" w:rsidRPr="0077201D" w:rsidRDefault="0077201D" w:rsidP="0077201D">
            <w:pPr>
              <w:rPr>
                <w:rFonts w:ascii="Calibri" w:hAnsi="Calibri"/>
              </w:rPr>
            </w:pPr>
          </w:p>
        </w:tc>
      </w:tr>
      <w:tr w:rsidR="0077201D" w:rsidRPr="0077201D" w14:paraId="7F1E8187" w14:textId="77777777" w:rsidTr="0066056C">
        <w:tc>
          <w:tcPr>
            <w:tcW w:w="6658" w:type="dxa"/>
          </w:tcPr>
          <w:p w14:paraId="6037DC67" w14:textId="77777777" w:rsidR="0077201D" w:rsidRPr="0077201D" w:rsidRDefault="0077201D" w:rsidP="0077201D">
            <w:pPr>
              <w:shd w:val="clear" w:color="auto" w:fill="FFFFFF"/>
              <w:rPr>
                <w:rFonts w:ascii="Calibri" w:hAnsi="Calibri"/>
              </w:rPr>
            </w:pPr>
            <w:r w:rsidRPr="0077201D">
              <w:rPr>
                <w:rFonts w:ascii="Calibri" w:hAnsi="Calibri" w:cs="Calibri"/>
                <w:color w:val="201F1E"/>
                <w:lang w:eastAsia="en-AU"/>
              </w:rPr>
              <w:t>The third fourth gear selector</w:t>
            </w:r>
          </w:p>
        </w:tc>
        <w:tc>
          <w:tcPr>
            <w:tcW w:w="1275" w:type="dxa"/>
          </w:tcPr>
          <w:p w14:paraId="5A0F45D1" w14:textId="77777777" w:rsidR="0077201D" w:rsidRPr="0077201D" w:rsidRDefault="0077201D" w:rsidP="0077201D">
            <w:pPr>
              <w:rPr>
                <w:rFonts w:ascii="Calibri" w:hAnsi="Calibri"/>
              </w:rPr>
            </w:pPr>
            <w:r w:rsidRPr="0077201D">
              <w:rPr>
                <w:rFonts w:ascii="Calibri" w:hAnsi="Calibri"/>
              </w:rPr>
              <w:t>Qld</w:t>
            </w:r>
          </w:p>
        </w:tc>
        <w:tc>
          <w:tcPr>
            <w:tcW w:w="1083" w:type="dxa"/>
          </w:tcPr>
          <w:p w14:paraId="16F63A12" w14:textId="77777777" w:rsidR="0077201D" w:rsidRPr="0077201D" w:rsidRDefault="0077201D" w:rsidP="0077201D">
            <w:pPr>
              <w:rPr>
                <w:rFonts w:ascii="Calibri" w:hAnsi="Calibri"/>
              </w:rPr>
            </w:pPr>
          </w:p>
        </w:tc>
      </w:tr>
      <w:tr w:rsidR="0077201D" w:rsidRPr="0077201D" w14:paraId="450F27B7" w14:textId="77777777" w:rsidTr="0066056C">
        <w:tc>
          <w:tcPr>
            <w:tcW w:w="6658" w:type="dxa"/>
          </w:tcPr>
          <w:p w14:paraId="505C12B3" w14:textId="77777777" w:rsidR="0077201D" w:rsidRPr="0077201D" w:rsidRDefault="0077201D" w:rsidP="0077201D">
            <w:pPr>
              <w:shd w:val="clear" w:color="auto" w:fill="FFFFFF"/>
              <w:rPr>
                <w:rFonts w:ascii="Calibri" w:hAnsi="Calibri"/>
              </w:rPr>
            </w:pPr>
            <w:r w:rsidRPr="0077201D">
              <w:rPr>
                <w:rFonts w:ascii="Calibri" w:hAnsi="Calibri" w:cs="Calibri"/>
                <w:color w:val="201F1E"/>
                <w:lang w:eastAsia="en-AU"/>
              </w:rPr>
              <w:t>Replacement front indicator and headlight assembly</w:t>
            </w:r>
          </w:p>
        </w:tc>
        <w:tc>
          <w:tcPr>
            <w:tcW w:w="1275" w:type="dxa"/>
          </w:tcPr>
          <w:p w14:paraId="77464433" w14:textId="77777777" w:rsidR="0077201D" w:rsidRPr="0077201D" w:rsidRDefault="0077201D" w:rsidP="0077201D">
            <w:pPr>
              <w:rPr>
                <w:rFonts w:ascii="Calibri" w:hAnsi="Calibri"/>
              </w:rPr>
            </w:pPr>
            <w:r w:rsidRPr="0077201D">
              <w:rPr>
                <w:rFonts w:ascii="Calibri" w:hAnsi="Calibri"/>
              </w:rPr>
              <w:t>Qld</w:t>
            </w:r>
          </w:p>
        </w:tc>
        <w:tc>
          <w:tcPr>
            <w:tcW w:w="1083" w:type="dxa"/>
          </w:tcPr>
          <w:p w14:paraId="5DB35D4C" w14:textId="77777777" w:rsidR="0077201D" w:rsidRPr="0077201D" w:rsidRDefault="0077201D" w:rsidP="0077201D">
            <w:pPr>
              <w:rPr>
                <w:rFonts w:ascii="Calibri" w:hAnsi="Calibri"/>
              </w:rPr>
            </w:pPr>
          </w:p>
        </w:tc>
      </w:tr>
      <w:tr w:rsidR="0077201D" w:rsidRPr="0077201D" w14:paraId="5C093F5D" w14:textId="77777777" w:rsidTr="0066056C">
        <w:tc>
          <w:tcPr>
            <w:tcW w:w="6658" w:type="dxa"/>
          </w:tcPr>
          <w:p w14:paraId="71738207" w14:textId="77777777" w:rsidR="0077201D" w:rsidRPr="0077201D" w:rsidRDefault="0077201D" w:rsidP="0077201D">
            <w:pPr>
              <w:shd w:val="clear" w:color="auto" w:fill="FFFFFF"/>
              <w:rPr>
                <w:rFonts w:ascii="Calibri" w:hAnsi="Calibri"/>
              </w:rPr>
            </w:pPr>
            <w:r w:rsidRPr="0077201D">
              <w:rPr>
                <w:rFonts w:ascii="Calibri" w:hAnsi="Calibri" w:cs="Calibri"/>
                <w:color w:val="201F1E"/>
                <w:lang w:eastAsia="en-AU"/>
              </w:rPr>
              <w:t>Replacement controlled engine wiring harness</w:t>
            </w:r>
          </w:p>
        </w:tc>
        <w:tc>
          <w:tcPr>
            <w:tcW w:w="1275" w:type="dxa"/>
          </w:tcPr>
          <w:p w14:paraId="77502B9E" w14:textId="77777777" w:rsidR="0077201D" w:rsidRPr="0077201D" w:rsidRDefault="0077201D" w:rsidP="0077201D">
            <w:pPr>
              <w:rPr>
                <w:rFonts w:ascii="Calibri" w:hAnsi="Calibri"/>
              </w:rPr>
            </w:pPr>
            <w:r w:rsidRPr="0077201D">
              <w:rPr>
                <w:rFonts w:ascii="Calibri" w:hAnsi="Calibri"/>
              </w:rPr>
              <w:t>Qld</w:t>
            </w:r>
          </w:p>
        </w:tc>
        <w:tc>
          <w:tcPr>
            <w:tcW w:w="1083" w:type="dxa"/>
          </w:tcPr>
          <w:p w14:paraId="59A64DF3" w14:textId="77777777" w:rsidR="0077201D" w:rsidRPr="0077201D" w:rsidRDefault="0077201D" w:rsidP="0077201D">
            <w:pPr>
              <w:rPr>
                <w:rFonts w:ascii="Calibri" w:hAnsi="Calibri"/>
              </w:rPr>
            </w:pPr>
          </w:p>
        </w:tc>
      </w:tr>
      <w:tr w:rsidR="0077201D" w:rsidRPr="0077201D" w14:paraId="450F8343" w14:textId="77777777" w:rsidTr="0066056C">
        <w:tc>
          <w:tcPr>
            <w:tcW w:w="6658" w:type="dxa"/>
          </w:tcPr>
          <w:p w14:paraId="69D0B5B0" w14:textId="77777777" w:rsidR="0077201D" w:rsidRPr="0077201D" w:rsidRDefault="0077201D" w:rsidP="0077201D">
            <w:pPr>
              <w:shd w:val="clear" w:color="auto" w:fill="FFFFFF"/>
              <w:rPr>
                <w:rFonts w:ascii="Calibri" w:hAnsi="Calibri"/>
              </w:rPr>
            </w:pPr>
            <w:r w:rsidRPr="0077201D">
              <w:rPr>
                <w:rFonts w:ascii="Calibri" w:hAnsi="Calibri" w:cs="Calibri"/>
                <w:color w:val="201F1E"/>
                <w:lang w:eastAsia="en-AU"/>
              </w:rPr>
              <w:t>Fix sway bar rule</w:t>
            </w:r>
          </w:p>
        </w:tc>
        <w:tc>
          <w:tcPr>
            <w:tcW w:w="1275" w:type="dxa"/>
          </w:tcPr>
          <w:p w14:paraId="06D71827" w14:textId="77777777" w:rsidR="0077201D" w:rsidRPr="0077201D" w:rsidRDefault="0077201D" w:rsidP="0077201D">
            <w:pPr>
              <w:rPr>
                <w:rFonts w:ascii="Calibri" w:hAnsi="Calibri"/>
              </w:rPr>
            </w:pPr>
            <w:r w:rsidRPr="0077201D">
              <w:rPr>
                <w:rFonts w:ascii="Calibri" w:hAnsi="Calibri"/>
              </w:rPr>
              <w:t>Qld</w:t>
            </w:r>
          </w:p>
        </w:tc>
        <w:tc>
          <w:tcPr>
            <w:tcW w:w="1083" w:type="dxa"/>
          </w:tcPr>
          <w:p w14:paraId="04C64346" w14:textId="77777777" w:rsidR="0077201D" w:rsidRPr="0077201D" w:rsidRDefault="0077201D" w:rsidP="0077201D">
            <w:pPr>
              <w:rPr>
                <w:rFonts w:ascii="Calibri" w:hAnsi="Calibri"/>
              </w:rPr>
            </w:pPr>
          </w:p>
        </w:tc>
      </w:tr>
    </w:tbl>
    <w:p w14:paraId="7F2B68F8" w14:textId="77777777" w:rsidR="0077201D" w:rsidRPr="0077201D" w:rsidRDefault="0077201D" w:rsidP="0077201D">
      <w:pPr>
        <w:spacing w:after="160" w:line="259" w:lineRule="auto"/>
        <w:ind w:left="0"/>
        <w:rPr>
          <w:rFonts w:ascii="Calibri" w:eastAsia="Calibri" w:hAnsi="Calibri"/>
          <w:sz w:val="22"/>
          <w:szCs w:val="22"/>
        </w:rPr>
      </w:pPr>
    </w:p>
    <w:p w14:paraId="37E23789" w14:textId="77777777" w:rsidR="0036476E" w:rsidRDefault="0036476E" w:rsidP="001E0DBC"/>
    <w:sectPr w:rsidR="0036476E" w:rsidSect="0019365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74B9" w14:textId="77777777" w:rsidR="00BB5ABB" w:rsidRDefault="00BB5ABB" w:rsidP="001E7D29">
      <w:pPr>
        <w:spacing w:after="0" w:line="240" w:lineRule="auto"/>
      </w:pPr>
      <w:r>
        <w:separator/>
      </w:r>
    </w:p>
  </w:endnote>
  <w:endnote w:type="continuationSeparator" w:id="0">
    <w:p w14:paraId="7A04C713" w14:textId="77777777" w:rsidR="00BB5ABB" w:rsidRDefault="00BB5AB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7F21" w14:textId="77777777" w:rsidR="00BB5ABB" w:rsidRDefault="00BB5ABB" w:rsidP="001E7D29">
      <w:pPr>
        <w:spacing w:after="0" w:line="240" w:lineRule="auto"/>
      </w:pPr>
      <w:r>
        <w:separator/>
      </w:r>
    </w:p>
  </w:footnote>
  <w:footnote w:type="continuationSeparator" w:id="0">
    <w:p w14:paraId="05AE0650" w14:textId="77777777" w:rsidR="00BB5ABB" w:rsidRDefault="00BB5AB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F4BB" w14:textId="77777777" w:rsidR="00547DB8" w:rsidRDefault="00547DB8">
    <w:pPr>
      <w:pStyle w:val="Header"/>
    </w:pPr>
    <w:r w:rsidRPr="00547DB8">
      <w:rPr>
        <w:rFonts w:ascii="Calibri" w:eastAsia="Calibri" w:hAnsi="Calibri"/>
        <w:sz w:val="32"/>
        <w:szCs w:val="32"/>
        <w:lang w:val="en-AU"/>
      </w:rPr>
      <w:t>CERA Regulation Review Issue Register 2022</w:t>
    </w:r>
  </w:p>
  <w:p w14:paraId="303D75B0" w14:textId="77777777" w:rsidR="00547DB8" w:rsidRDefault="0054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49E"/>
    <w:rsid w:val="00045BD2"/>
    <w:rsid w:val="0004692A"/>
    <w:rsid w:val="00050394"/>
    <w:rsid w:val="000546D2"/>
    <w:rsid w:val="00055E61"/>
    <w:rsid w:val="00057671"/>
    <w:rsid w:val="00057CFB"/>
    <w:rsid w:val="00061B39"/>
    <w:rsid w:val="0006449E"/>
    <w:rsid w:val="000662AA"/>
    <w:rsid w:val="000662C5"/>
    <w:rsid w:val="000668C8"/>
    <w:rsid w:val="00072199"/>
    <w:rsid w:val="00073B9C"/>
    <w:rsid w:val="00082779"/>
    <w:rsid w:val="00083199"/>
    <w:rsid w:val="00085490"/>
    <w:rsid w:val="00096D51"/>
    <w:rsid w:val="000A1790"/>
    <w:rsid w:val="000A1886"/>
    <w:rsid w:val="000A40A1"/>
    <w:rsid w:val="000A76B7"/>
    <w:rsid w:val="000B11DE"/>
    <w:rsid w:val="000C25D6"/>
    <w:rsid w:val="000C6E74"/>
    <w:rsid w:val="000C729D"/>
    <w:rsid w:val="000C7EF0"/>
    <w:rsid w:val="000D049A"/>
    <w:rsid w:val="000D304D"/>
    <w:rsid w:val="000D445D"/>
    <w:rsid w:val="000D7CB9"/>
    <w:rsid w:val="000E0253"/>
    <w:rsid w:val="000E3B86"/>
    <w:rsid w:val="000E47C0"/>
    <w:rsid w:val="000F0165"/>
    <w:rsid w:val="000F0D62"/>
    <w:rsid w:val="000F3A42"/>
    <w:rsid w:val="000F3EA3"/>
    <w:rsid w:val="000F4987"/>
    <w:rsid w:val="000F4E1F"/>
    <w:rsid w:val="000F65EC"/>
    <w:rsid w:val="001016B8"/>
    <w:rsid w:val="00113C23"/>
    <w:rsid w:val="0011573E"/>
    <w:rsid w:val="00124A36"/>
    <w:rsid w:val="001269DE"/>
    <w:rsid w:val="00132EBE"/>
    <w:rsid w:val="00134202"/>
    <w:rsid w:val="00137DE1"/>
    <w:rsid w:val="0014069E"/>
    <w:rsid w:val="00140DAE"/>
    <w:rsid w:val="0014315E"/>
    <w:rsid w:val="00145E51"/>
    <w:rsid w:val="0015180F"/>
    <w:rsid w:val="00154EBE"/>
    <w:rsid w:val="00155881"/>
    <w:rsid w:val="001568EA"/>
    <w:rsid w:val="00156F1B"/>
    <w:rsid w:val="00162856"/>
    <w:rsid w:val="001746FC"/>
    <w:rsid w:val="00174959"/>
    <w:rsid w:val="0017544B"/>
    <w:rsid w:val="001760EA"/>
    <w:rsid w:val="00186DCA"/>
    <w:rsid w:val="001874BA"/>
    <w:rsid w:val="00191BA6"/>
    <w:rsid w:val="00191E65"/>
    <w:rsid w:val="00193653"/>
    <w:rsid w:val="001977C3"/>
    <w:rsid w:val="001A69EA"/>
    <w:rsid w:val="001B447B"/>
    <w:rsid w:val="001C3D21"/>
    <w:rsid w:val="001C6997"/>
    <w:rsid w:val="001E0DBC"/>
    <w:rsid w:val="001E5C91"/>
    <w:rsid w:val="001E7D29"/>
    <w:rsid w:val="001F00AF"/>
    <w:rsid w:val="001F690E"/>
    <w:rsid w:val="001F7E2A"/>
    <w:rsid w:val="002024D3"/>
    <w:rsid w:val="00203600"/>
    <w:rsid w:val="00206839"/>
    <w:rsid w:val="002075B6"/>
    <w:rsid w:val="00211456"/>
    <w:rsid w:val="00212982"/>
    <w:rsid w:val="002132C0"/>
    <w:rsid w:val="002219B4"/>
    <w:rsid w:val="00223BC1"/>
    <w:rsid w:val="002240DA"/>
    <w:rsid w:val="00232DC7"/>
    <w:rsid w:val="002404F5"/>
    <w:rsid w:val="00245954"/>
    <w:rsid w:val="00250F70"/>
    <w:rsid w:val="00254E3C"/>
    <w:rsid w:val="00255AF3"/>
    <w:rsid w:val="00260236"/>
    <w:rsid w:val="0026287C"/>
    <w:rsid w:val="00263515"/>
    <w:rsid w:val="00263C76"/>
    <w:rsid w:val="002642DB"/>
    <w:rsid w:val="00270817"/>
    <w:rsid w:val="00271990"/>
    <w:rsid w:val="00275260"/>
    <w:rsid w:val="00276FA1"/>
    <w:rsid w:val="00285B87"/>
    <w:rsid w:val="00287CCA"/>
    <w:rsid w:val="00291B3E"/>
    <w:rsid w:val="00291B4A"/>
    <w:rsid w:val="00292FBF"/>
    <w:rsid w:val="002A40C9"/>
    <w:rsid w:val="002A7F7A"/>
    <w:rsid w:val="002B16D1"/>
    <w:rsid w:val="002B59AD"/>
    <w:rsid w:val="002C0EFE"/>
    <w:rsid w:val="002C3D7E"/>
    <w:rsid w:val="002C43A6"/>
    <w:rsid w:val="002D0508"/>
    <w:rsid w:val="002D314E"/>
    <w:rsid w:val="002E03EF"/>
    <w:rsid w:val="002E529F"/>
    <w:rsid w:val="002E7E71"/>
    <w:rsid w:val="00301FAF"/>
    <w:rsid w:val="00313FC1"/>
    <w:rsid w:val="0032131A"/>
    <w:rsid w:val="003221CF"/>
    <w:rsid w:val="003310BF"/>
    <w:rsid w:val="00333DF8"/>
    <w:rsid w:val="0033489E"/>
    <w:rsid w:val="003358E5"/>
    <w:rsid w:val="003444E0"/>
    <w:rsid w:val="003528E0"/>
    <w:rsid w:val="003530DF"/>
    <w:rsid w:val="00356F79"/>
    <w:rsid w:val="00357641"/>
    <w:rsid w:val="00360B6E"/>
    <w:rsid w:val="00361DEE"/>
    <w:rsid w:val="0036476E"/>
    <w:rsid w:val="00371F0C"/>
    <w:rsid w:val="00376416"/>
    <w:rsid w:val="00387FB5"/>
    <w:rsid w:val="00394EF4"/>
    <w:rsid w:val="003955BE"/>
    <w:rsid w:val="003A0B86"/>
    <w:rsid w:val="003A0FC8"/>
    <w:rsid w:val="003A26D0"/>
    <w:rsid w:val="003A4401"/>
    <w:rsid w:val="003A677A"/>
    <w:rsid w:val="003B0429"/>
    <w:rsid w:val="003B13F1"/>
    <w:rsid w:val="003B328D"/>
    <w:rsid w:val="003B59E1"/>
    <w:rsid w:val="003B6974"/>
    <w:rsid w:val="003C16AD"/>
    <w:rsid w:val="003C1DED"/>
    <w:rsid w:val="003C636C"/>
    <w:rsid w:val="003D1AF6"/>
    <w:rsid w:val="003D2AAC"/>
    <w:rsid w:val="003D351F"/>
    <w:rsid w:val="003D66D6"/>
    <w:rsid w:val="003D7C11"/>
    <w:rsid w:val="003D7F16"/>
    <w:rsid w:val="003E4D68"/>
    <w:rsid w:val="003E523C"/>
    <w:rsid w:val="003E67E9"/>
    <w:rsid w:val="003E7B8C"/>
    <w:rsid w:val="00402647"/>
    <w:rsid w:val="00402C4A"/>
    <w:rsid w:val="00404DB2"/>
    <w:rsid w:val="00404E92"/>
    <w:rsid w:val="00407A94"/>
    <w:rsid w:val="00410612"/>
    <w:rsid w:val="00411F8B"/>
    <w:rsid w:val="00420D0F"/>
    <w:rsid w:val="00421A85"/>
    <w:rsid w:val="00422735"/>
    <w:rsid w:val="004238D4"/>
    <w:rsid w:val="00423F81"/>
    <w:rsid w:val="00425A6F"/>
    <w:rsid w:val="00426BDF"/>
    <w:rsid w:val="0043280B"/>
    <w:rsid w:val="004361F0"/>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3D0A"/>
    <w:rsid w:val="004A4462"/>
    <w:rsid w:val="004A5C50"/>
    <w:rsid w:val="004A6F21"/>
    <w:rsid w:val="004B2ACB"/>
    <w:rsid w:val="004B5C09"/>
    <w:rsid w:val="004D6752"/>
    <w:rsid w:val="004D6991"/>
    <w:rsid w:val="004E227E"/>
    <w:rsid w:val="004E28B8"/>
    <w:rsid w:val="004E626B"/>
    <w:rsid w:val="004F0484"/>
    <w:rsid w:val="004F28E2"/>
    <w:rsid w:val="004F4629"/>
    <w:rsid w:val="004F4913"/>
    <w:rsid w:val="004F4F5A"/>
    <w:rsid w:val="004F62DA"/>
    <w:rsid w:val="004F712E"/>
    <w:rsid w:val="00500DD1"/>
    <w:rsid w:val="0050150D"/>
    <w:rsid w:val="00501C3E"/>
    <w:rsid w:val="00504489"/>
    <w:rsid w:val="00506F09"/>
    <w:rsid w:val="005076CA"/>
    <w:rsid w:val="00507A27"/>
    <w:rsid w:val="00514B2C"/>
    <w:rsid w:val="005156D2"/>
    <w:rsid w:val="005173A2"/>
    <w:rsid w:val="00521AE3"/>
    <w:rsid w:val="00522175"/>
    <w:rsid w:val="00535B54"/>
    <w:rsid w:val="00535BA9"/>
    <w:rsid w:val="0053756E"/>
    <w:rsid w:val="00542254"/>
    <w:rsid w:val="00545A10"/>
    <w:rsid w:val="00546C42"/>
    <w:rsid w:val="00547DB8"/>
    <w:rsid w:val="00554276"/>
    <w:rsid w:val="005559BA"/>
    <w:rsid w:val="00563B4C"/>
    <w:rsid w:val="0056409C"/>
    <w:rsid w:val="00565C1A"/>
    <w:rsid w:val="00567E51"/>
    <w:rsid w:val="0057190E"/>
    <w:rsid w:val="005728E2"/>
    <w:rsid w:val="005767FA"/>
    <w:rsid w:val="0057693E"/>
    <w:rsid w:val="0058035E"/>
    <w:rsid w:val="00587A94"/>
    <w:rsid w:val="00594981"/>
    <w:rsid w:val="00594EEE"/>
    <w:rsid w:val="00595B85"/>
    <w:rsid w:val="0059606A"/>
    <w:rsid w:val="005A1D1E"/>
    <w:rsid w:val="005A2EA7"/>
    <w:rsid w:val="005A4779"/>
    <w:rsid w:val="005A5A1E"/>
    <w:rsid w:val="005B2095"/>
    <w:rsid w:val="005B6622"/>
    <w:rsid w:val="005C0717"/>
    <w:rsid w:val="005C39E2"/>
    <w:rsid w:val="005D6786"/>
    <w:rsid w:val="005E0ED9"/>
    <w:rsid w:val="005E2004"/>
    <w:rsid w:val="005E5763"/>
    <w:rsid w:val="005E5A32"/>
    <w:rsid w:val="005F0DA2"/>
    <w:rsid w:val="005F2851"/>
    <w:rsid w:val="005F3983"/>
    <w:rsid w:val="005F429D"/>
    <w:rsid w:val="005F4771"/>
    <w:rsid w:val="006012AF"/>
    <w:rsid w:val="00602894"/>
    <w:rsid w:val="00604F66"/>
    <w:rsid w:val="0061004B"/>
    <w:rsid w:val="006124FA"/>
    <w:rsid w:val="00613904"/>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6157C"/>
    <w:rsid w:val="00680296"/>
    <w:rsid w:val="00683F0B"/>
    <w:rsid w:val="006853BC"/>
    <w:rsid w:val="00687389"/>
    <w:rsid w:val="006928C1"/>
    <w:rsid w:val="00693101"/>
    <w:rsid w:val="0069715A"/>
    <w:rsid w:val="006A195F"/>
    <w:rsid w:val="006A1AE9"/>
    <w:rsid w:val="006A28A5"/>
    <w:rsid w:val="006A29FA"/>
    <w:rsid w:val="006A4397"/>
    <w:rsid w:val="006B5AAD"/>
    <w:rsid w:val="006C4700"/>
    <w:rsid w:val="006C52F9"/>
    <w:rsid w:val="006C536A"/>
    <w:rsid w:val="006C5BDD"/>
    <w:rsid w:val="006D4F72"/>
    <w:rsid w:val="006D762D"/>
    <w:rsid w:val="006F03D4"/>
    <w:rsid w:val="006F1E55"/>
    <w:rsid w:val="006F23A9"/>
    <w:rsid w:val="006F2EDB"/>
    <w:rsid w:val="006F4F0C"/>
    <w:rsid w:val="00700B1F"/>
    <w:rsid w:val="00707B63"/>
    <w:rsid w:val="007210E4"/>
    <w:rsid w:val="00722D91"/>
    <w:rsid w:val="007257E9"/>
    <w:rsid w:val="00731832"/>
    <w:rsid w:val="007331AF"/>
    <w:rsid w:val="00734088"/>
    <w:rsid w:val="00740E08"/>
    <w:rsid w:val="00742317"/>
    <w:rsid w:val="007447F3"/>
    <w:rsid w:val="00744B1E"/>
    <w:rsid w:val="007539A8"/>
    <w:rsid w:val="00756D9C"/>
    <w:rsid w:val="0076090C"/>
    <w:rsid w:val="007619BD"/>
    <w:rsid w:val="00765079"/>
    <w:rsid w:val="0076621D"/>
    <w:rsid w:val="0076676E"/>
    <w:rsid w:val="00771C24"/>
    <w:rsid w:val="0077201D"/>
    <w:rsid w:val="0077520D"/>
    <w:rsid w:val="007772C9"/>
    <w:rsid w:val="0078018C"/>
    <w:rsid w:val="007815B6"/>
    <w:rsid w:val="00781863"/>
    <w:rsid w:val="00781E62"/>
    <w:rsid w:val="00782E09"/>
    <w:rsid w:val="00783E0E"/>
    <w:rsid w:val="007858AB"/>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14D0"/>
    <w:rsid w:val="007E4BB9"/>
    <w:rsid w:val="007E4C36"/>
    <w:rsid w:val="007F24F5"/>
    <w:rsid w:val="007F34A4"/>
    <w:rsid w:val="007F4707"/>
    <w:rsid w:val="007F566D"/>
    <w:rsid w:val="007F6283"/>
    <w:rsid w:val="007F663A"/>
    <w:rsid w:val="00801887"/>
    <w:rsid w:val="00805B4E"/>
    <w:rsid w:val="00806BC5"/>
    <w:rsid w:val="00807F30"/>
    <w:rsid w:val="008132A0"/>
    <w:rsid w:val="00815563"/>
    <w:rsid w:val="00821F95"/>
    <w:rsid w:val="008227C9"/>
    <w:rsid w:val="008240DA"/>
    <w:rsid w:val="00824238"/>
    <w:rsid w:val="00824A57"/>
    <w:rsid w:val="00824F3D"/>
    <w:rsid w:val="0083388A"/>
    <w:rsid w:val="00841942"/>
    <w:rsid w:val="008429E5"/>
    <w:rsid w:val="00844001"/>
    <w:rsid w:val="00846E04"/>
    <w:rsid w:val="00851562"/>
    <w:rsid w:val="0085224E"/>
    <w:rsid w:val="00852FC9"/>
    <w:rsid w:val="00865711"/>
    <w:rsid w:val="00867EA4"/>
    <w:rsid w:val="00872074"/>
    <w:rsid w:val="00875570"/>
    <w:rsid w:val="00880F98"/>
    <w:rsid w:val="00884C1B"/>
    <w:rsid w:val="00886648"/>
    <w:rsid w:val="00890516"/>
    <w:rsid w:val="008907A5"/>
    <w:rsid w:val="0089097F"/>
    <w:rsid w:val="00892055"/>
    <w:rsid w:val="00892517"/>
    <w:rsid w:val="00897D88"/>
    <w:rsid w:val="008A0319"/>
    <w:rsid w:val="008A27A5"/>
    <w:rsid w:val="008A3B68"/>
    <w:rsid w:val="008B47C9"/>
    <w:rsid w:val="008C0FF0"/>
    <w:rsid w:val="008C20F5"/>
    <w:rsid w:val="008C28A4"/>
    <w:rsid w:val="008D43E9"/>
    <w:rsid w:val="008D50AD"/>
    <w:rsid w:val="008D5365"/>
    <w:rsid w:val="008E0CD1"/>
    <w:rsid w:val="008E124D"/>
    <w:rsid w:val="008E24F9"/>
    <w:rsid w:val="008E3C0E"/>
    <w:rsid w:val="008E3FBC"/>
    <w:rsid w:val="008E476B"/>
    <w:rsid w:val="00903021"/>
    <w:rsid w:val="00904632"/>
    <w:rsid w:val="009154E5"/>
    <w:rsid w:val="00917BCD"/>
    <w:rsid w:val="00926245"/>
    <w:rsid w:val="00927841"/>
    <w:rsid w:val="00927C63"/>
    <w:rsid w:val="00931F6E"/>
    <w:rsid w:val="00932F50"/>
    <w:rsid w:val="00933692"/>
    <w:rsid w:val="00937265"/>
    <w:rsid w:val="00942939"/>
    <w:rsid w:val="00943104"/>
    <w:rsid w:val="0094496E"/>
    <w:rsid w:val="0094637B"/>
    <w:rsid w:val="009524FB"/>
    <w:rsid w:val="00953523"/>
    <w:rsid w:val="00955A78"/>
    <w:rsid w:val="0095669C"/>
    <w:rsid w:val="00961F1E"/>
    <w:rsid w:val="009675FC"/>
    <w:rsid w:val="00967FC3"/>
    <w:rsid w:val="00970AFC"/>
    <w:rsid w:val="0097211F"/>
    <w:rsid w:val="009735E5"/>
    <w:rsid w:val="0097489E"/>
    <w:rsid w:val="00980DD7"/>
    <w:rsid w:val="00983B42"/>
    <w:rsid w:val="00983CF9"/>
    <w:rsid w:val="00984BDE"/>
    <w:rsid w:val="00987DFF"/>
    <w:rsid w:val="009921B8"/>
    <w:rsid w:val="0099317A"/>
    <w:rsid w:val="00993A81"/>
    <w:rsid w:val="009A2A8E"/>
    <w:rsid w:val="009A448F"/>
    <w:rsid w:val="009B0553"/>
    <w:rsid w:val="009B088D"/>
    <w:rsid w:val="009B63C0"/>
    <w:rsid w:val="009C206F"/>
    <w:rsid w:val="009C741A"/>
    <w:rsid w:val="009D4984"/>
    <w:rsid w:val="009D678D"/>
    <w:rsid w:val="009D6901"/>
    <w:rsid w:val="009E2F94"/>
    <w:rsid w:val="009E4961"/>
    <w:rsid w:val="009F083F"/>
    <w:rsid w:val="009F0DE4"/>
    <w:rsid w:val="009F4E19"/>
    <w:rsid w:val="00A03690"/>
    <w:rsid w:val="00A03F59"/>
    <w:rsid w:val="00A06E42"/>
    <w:rsid w:val="00A07662"/>
    <w:rsid w:val="00A1629B"/>
    <w:rsid w:val="00A162DA"/>
    <w:rsid w:val="00A21B71"/>
    <w:rsid w:val="00A223BD"/>
    <w:rsid w:val="00A2507B"/>
    <w:rsid w:val="00A26C30"/>
    <w:rsid w:val="00A27CE3"/>
    <w:rsid w:val="00A30D54"/>
    <w:rsid w:val="00A331A7"/>
    <w:rsid w:val="00A3539E"/>
    <w:rsid w:val="00A37F9E"/>
    <w:rsid w:val="00A40085"/>
    <w:rsid w:val="00A40421"/>
    <w:rsid w:val="00A40F6D"/>
    <w:rsid w:val="00A45176"/>
    <w:rsid w:val="00A45F4D"/>
    <w:rsid w:val="00A47DF6"/>
    <w:rsid w:val="00A53B4C"/>
    <w:rsid w:val="00A570DB"/>
    <w:rsid w:val="00A61185"/>
    <w:rsid w:val="00A7060B"/>
    <w:rsid w:val="00A72716"/>
    <w:rsid w:val="00A91FA9"/>
    <w:rsid w:val="00A9231C"/>
    <w:rsid w:val="00A93196"/>
    <w:rsid w:val="00A9699F"/>
    <w:rsid w:val="00A96C94"/>
    <w:rsid w:val="00A979E4"/>
    <w:rsid w:val="00AA2532"/>
    <w:rsid w:val="00AA418B"/>
    <w:rsid w:val="00AA59FB"/>
    <w:rsid w:val="00AA6D21"/>
    <w:rsid w:val="00AB3945"/>
    <w:rsid w:val="00AB49E1"/>
    <w:rsid w:val="00AB6470"/>
    <w:rsid w:val="00AB6F4B"/>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18AB"/>
    <w:rsid w:val="00AF21B7"/>
    <w:rsid w:val="00AF3E1E"/>
    <w:rsid w:val="00B0086E"/>
    <w:rsid w:val="00B0260A"/>
    <w:rsid w:val="00B02D58"/>
    <w:rsid w:val="00B148E3"/>
    <w:rsid w:val="00B15943"/>
    <w:rsid w:val="00B21FF8"/>
    <w:rsid w:val="00B2414D"/>
    <w:rsid w:val="00B247A9"/>
    <w:rsid w:val="00B31E48"/>
    <w:rsid w:val="00B42D08"/>
    <w:rsid w:val="00B435B5"/>
    <w:rsid w:val="00B43929"/>
    <w:rsid w:val="00B4588F"/>
    <w:rsid w:val="00B51987"/>
    <w:rsid w:val="00B53C32"/>
    <w:rsid w:val="00B54B09"/>
    <w:rsid w:val="00B565D8"/>
    <w:rsid w:val="00B5779A"/>
    <w:rsid w:val="00B64098"/>
    <w:rsid w:val="00B64D24"/>
    <w:rsid w:val="00B662FD"/>
    <w:rsid w:val="00B70C30"/>
    <w:rsid w:val="00B7147D"/>
    <w:rsid w:val="00B71C01"/>
    <w:rsid w:val="00B72A5B"/>
    <w:rsid w:val="00B75CFC"/>
    <w:rsid w:val="00B853F9"/>
    <w:rsid w:val="00B865C9"/>
    <w:rsid w:val="00B86D92"/>
    <w:rsid w:val="00B9075D"/>
    <w:rsid w:val="00B90927"/>
    <w:rsid w:val="00B94879"/>
    <w:rsid w:val="00BA2E7F"/>
    <w:rsid w:val="00BA39D9"/>
    <w:rsid w:val="00BA4A4E"/>
    <w:rsid w:val="00BA5048"/>
    <w:rsid w:val="00BA5223"/>
    <w:rsid w:val="00BA7D28"/>
    <w:rsid w:val="00BB018B"/>
    <w:rsid w:val="00BB31DA"/>
    <w:rsid w:val="00BB5ABB"/>
    <w:rsid w:val="00BC4BF0"/>
    <w:rsid w:val="00BC59CB"/>
    <w:rsid w:val="00BC7612"/>
    <w:rsid w:val="00BD1747"/>
    <w:rsid w:val="00BD3161"/>
    <w:rsid w:val="00BD7681"/>
    <w:rsid w:val="00BE09E6"/>
    <w:rsid w:val="00BE2500"/>
    <w:rsid w:val="00BE2CEF"/>
    <w:rsid w:val="00BE434A"/>
    <w:rsid w:val="00BE67C3"/>
    <w:rsid w:val="00BE6A46"/>
    <w:rsid w:val="00BE6B54"/>
    <w:rsid w:val="00BF1F6C"/>
    <w:rsid w:val="00BF386E"/>
    <w:rsid w:val="00BF439C"/>
    <w:rsid w:val="00BF4673"/>
    <w:rsid w:val="00BF5255"/>
    <w:rsid w:val="00BF79D5"/>
    <w:rsid w:val="00C03E5B"/>
    <w:rsid w:val="00C07EFD"/>
    <w:rsid w:val="00C1151F"/>
    <w:rsid w:val="00C14973"/>
    <w:rsid w:val="00C16430"/>
    <w:rsid w:val="00C1643D"/>
    <w:rsid w:val="00C21C98"/>
    <w:rsid w:val="00C23518"/>
    <w:rsid w:val="00C261A9"/>
    <w:rsid w:val="00C328CF"/>
    <w:rsid w:val="00C3756D"/>
    <w:rsid w:val="00C42793"/>
    <w:rsid w:val="00C42EB3"/>
    <w:rsid w:val="00C4313A"/>
    <w:rsid w:val="00C45140"/>
    <w:rsid w:val="00C56EC4"/>
    <w:rsid w:val="00C601ED"/>
    <w:rsid w:val="00C61E81"/>
    <w:rsid w:val="00C63E10"/>
    <w:rsid w:val="00C65DFA"/>
    <w:rsid w:val="00C70159"/>
    <w:rsid w:val="00C72A4C"/>
    <w:rsid w:val="00C74144"/>
    <w:rsid w:val="00C756E8"/>
    <w:rsid w:val="00C86361"/>
    <w:rsid w:val="00C915ED"/>
    <w:rsid w:val="00C9352B"/>
    <w:rsid w:val="00CA0B14"/>
    <w:rsid w:val="00CA4C14"/>
    <w:rsid w:val="00CA7383"/>
    <w:rsid w:val="00CB078E"/>
    <w:rsid w:val="00CB4AAB"/>
    <w:rsid w:val="00CB7B2E"/>
    <w:rsid w:val="00CC0AEA"/>
    <w:rsid w:val="00CC2854"/>
    <w:rsid w:val="00CC3372"/>
    <w:rsid w:val="00CC5B5A"/>
    <w:rsid w:val="00CD0089"/>
    <w:rsid w:val="00CD4F26"/>
    <w:rsid w:val="00CD78A0"/>
    <w:rsid w:val="00CE0F8B"/>
    <w:rsid w:val="00CE19DE"/>
    <w:rsid w:val="00CE56BF"/>
    <w:rsid w:val="00CE5A5C"/>
    <w:rsid w:val="00CF2C1E"/>
    <w:rsid w:val="00CF32A3"/>
    <w:rsid w:val="00CF40CB"/>
    <w:rsid w:val="00D006A3"/>
    <w:rsid w:val="00D0470C"/>
    <w:rsid w:val="00D06B74"/>
    <w:rsid w:val="00D0750E"/>
    <w:rsid w:val="00D0775A"/>
    <w:rsid w:val="00D14B68"/>
    <w:rsid w:val="00D230E5"/>
    <w:rsid w:val="00D254F1"/>
    <w:rsid w:val="00D25EE6"/>
    <w:rsid w:val="00D31683"/>
    <w:rsid w:val="00D3190D"/>
    <w:rsid w:val="00D31AB7"/>
    <w:rsid w:val="00D34044"/>
    <w:rsid w:val="00D37349"/>
    <w:rsid w:val="00D50D23"/>
    <w:rsid w:val="00D512BB"/>
    <w:rsid w:val="00D553A2"/>
    <w:rsid w:val="00D707C9"/>
    <w:rsid w:val="00D7362A"/>
    <w:rsid w:val="00D77987"/>
    <w:rsid w:val="00D811D9"/>
    <w:rsid w:val="00D81D1B"/>
    <w:rsid w:val="00D85781"/>
    <w:rsid w:val="00D86750"/>
    <w:rsid w:val="00D91761"/>
    <w:rsid w:val="00D93FC2"/>
    <w:rsid w:val="00D978BD"/>
    <w:rsid w:val="00D97B78"/>
    <w:rsid w:val="00DA0E50"/>
    <w:rsid w:val="00DA16D5"/>
    <w:rsid w:val="00DA29AB"/>
    <w:rsid w:val="00DA3B1A"/>
    <w:rsid w:val="00DA427E"/>
    <w:rsid w:val="00DA4514"/>
    <w:rsid w:val="00DB7A4C"/>
    <w:rsid w:val="00DC0B13"/>
    <w:rsid w:val="00DC2541"/>
    <w:rsid w:val="00DC2E50"/>
    <w:rsid w:val="00DC47B9"/>
    <w:rsid w:val="00DC6078"/>
    <w:rsid w:val="00DC79AD"/>
    <w:rsid w:val="00DC7CEB"/>
    <w:rsid w:val="00DD13BD"/>
    <w:rsid w:val="00DD1638"/>
    <w:rsid w:val="00DD2075"/>
    <w:rsid w:val="00DE26A6"/>
    <w:rsid w:val="00DE7141"/>
    <w:rsid w:val="00DE74B3"/>
    <w:rsid w:val="00DF0C92"/>
    <w:rsid w:val="00DF2868"/>
    <w:rsid w:val="00DF29BD"/>
    <w:rsid w:val="00DF57E8"/>
    <w:rsid w:val="00E01F70"/>
    <w:rsid w:val="00E02E8A"/>
    <w:rsid w:val="00E032E7"/>
    <w:rsid w:val="00E03F60"/>
    <w:rsid w:val="00E141CE"/>
    <w:rsid w:val="00E16EB0"/>
    <w:rsid w:val="00E22973"/>
    <w:rsid w:val="00E22A2A"/>
    <w:rsid w:val="00E2335C"/>
    <w:rsid w:val="00E24FFC"/>
    <w:rsid w:val="00E26338"/>
    <w:rsid w:val="00E30DF1"/>
    <w:rsid w:val="00E3771E"/>
    <w:rsid w:val="00E421DD"/>
    <w:rsid w:val="00E426C4"/>
    <w:rsid w:val="00E43A7F"/>
    <w:rsid w:val="00E440B2"/>
    <w:rsid w:val="00E4739E"/>
    <w:rsid w:val="00E479B6"/>
    <w:rsid w:val="00E502A5"/>
    <w:rsid w:val="00E553ED"/>
    <w:rsid w:val="00E557A0"/>
    <w:rsid w:val="00E60904"/>
    <w:rsid w:val="00E66BF7"/>
    <w:rsid w:val="00E703E9"/>
    <w:rsid w:val="00E70FCD"/>
    <w:rsid w:val="00E714CF"/>
    <w:rsid w:val="00E74F06"/>
    <w:rsid w:val="00E74F6D"/>
    <w:rsid w:val="00E75B35"/>
    <w:rsid w:val="00E84385"/>
    <w:rsid w:val="00E91475"/>
    <w:rsid w:val="00E95305"/>
    <w:rsid w:val="00E95BEA"/>
    <w:rsid w:val="00E9649A"/>
    <w:rsid w:val="00EB2144"/>
    <w:rsid w:val="00EB4C2C"/>
    <w:rsid w:val="00EC2464"/>
    <w:rsid w:val="00EC3275"/>
    <w:rsid w:val="00EC39A7"/>
    <w:rsid w:val="00EC66D9"/>
    <w:rsid w:val="00EC6B63"/>
    <w:rsid w:val="00EC6F7D"/>
    <w:rsid w:val="00ED4F66"/>
    <w:rsid w:val="00ED5DDE"/>
    <w:rsid w:val="00EE0F95"/>
    <w:rsid w:val="00EE524E"/>
    <w:rsid w:val="00EF10A4"/>
    <w:rsid w:val="00EF2415"/>
    <w:rsid w:val="00EF3438"/>
    <w:rsid w:val="00EF5FC5"/>
    <w:rsid w:val="00EF6435"/>
    <w:rsid w:val="00F01C25"/>
    <w:rsid w:val="00F02FCE"/>
    <w:rsid w:val="00F07B60"/>
    <w:rsid w:val="00F07B7F"/>
    <w:rsid w:val="00F10CF4"/>
    <w:rsid w:val="00F10F6B"/>
    <w:rsid w:val="00F1119E"/>
    <w:rsid w:val="00F17F12"/>
    <w:rsid w:val="00F23105"/>
    <w:rsid w:val="00F23697"/>
    <w:rsid w:val="00F36BB7"/>
    <w:rsid w:val="00F37122"/>
    <w:rsid w:val="00F41695"/>
    <w:rsid w:val="00F41BE8"/>
    <w:rsid w:val="00F459CB"/>
    <w:rsid w:val="00F46357"/>
    <w:rsid w:val="00F4775B"/>
    <w:rsid w:val="00F47850"/>
    <w:rsid w:val="00F526F5"/>
    <w:rsid w:val="00F53BDF"/>
    <w:rsid w:val="00F61AE2"/>
    <w:rsid w:val="00F630A5"/>
    <w:rsid w:val="00F63153"/>
    <w:rsid w:val="00F63EE0"/>
    <w:rsid w:val="00F6523E"/>
    <w:rsid w:val="00F736D1"/>
    <w:rsid w:val="00F7443B"/>
    <w:rsid w:val="00F77989"/>
    <w:rsid w:val="00F80CF8"/>
    <w:rsid w:val="00F9650F"/>
    <w:rsid w:val="00F9799D"/>
    <w:rsid w:val="00F97B71"/>
    <w:rsid w:val="00FA41F8"/>
    <w:rsid w:val="00FA5EE7"/>
    <w:rsid w:val="00FB0D6F"/>
    <w:rsid w:val="00FB2DAA"/>
    <w:rsid w:val="00FB3809"/>
    <w:rsid w:val="00FB4E68"/>
    <w:rsid w:val="00FB6DC5"/>
    <w:rsid w:val="00FC16AB"/>
    <w:rsid w:val="00FC3181"/>
    <w:rsid w:val="00FC5D81"/>
    <w:rsid w:val="00FC6395"/>
    <w:rsid w:val="00FD6CAB"/>
    <w:rsid w:val="00FD7AF1"/>
    <w:rsid w:val="00FE008B"/>
    <w:rsid w:val="00FE239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2AB2528C4A064EE68B9F527B747C8D58"/>
        <w:category>
          <w:name w:val="General"/>
          <w:gallery w:val="placeholder"/>
        </w:category>
        <w:types>
          <w:type w:val="bbPlcHdr"/>
        </w:types>
        <w:behaviors>
          <w:behavior w:val="content"/>
        </w:behaviors>
        <w:guid w:val="{8E6557D8-F5E9-4EAA-A547-058AF3F34177}"/>
      </w:docPartPr>
      <w:docPartBody>
        <w:p w:rsidR="0032215D" w:rsidRDefault="007E02AD" w:rsidP="007E02AD">
          <w:pPr>
            <w:pStyle w:val="2AB2528C4A064EE68B9F527B747C8D5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186B8F"/>
    <w:rsid w:val="001954AD"/>
    <w:rsid w:val="0032215D"/>
    <w:rsid w:val="005034CA"/>
    <w:rsid w:val="00510A83"/>
    <w:rsid w:val="005516FB"/>
    <w:rsid w:val="005544F3"/>
    <w:rsid w:val="00571970"/>
    <w:rsid w:val="005B1C60"/>
    <w:rsid w:val="005E4A9D"/>
    <w:rsid w:val="006C0243"/>
    <w:rsid w:val="006C20E8"/>
    <w:rsid w:val="00763663"/>
    <w:rsid w:val="007E02AD"/>
    <w:rsid w:val="00830AD6"/>
    <w:rsid w:val="00871EEA"/>
    <w:rsid w:val="008B49A6"/>
    <w:rsid w:val="00A0420F"/>
    <w:rsid w:val="00A45465"/>
    <w:rsid w:val="00AE45F8"/>
    <w:rsid w:val="00B64E72"/>
    <w:rsid w:val="00B85B81"/>
    <w:rsid w:val="00BA2BCD"/>
    <w:rsid w:val="00BE0151"/>
    <w:rsid w:val="00C0528A"/>
    <w:rsid w:val="00CE05C6"/>
    <w:rsid w:val="00CF5DB6"/>
    <w:rsid w:val="00D04E30"/>
    <w:rsid w:val="00D111F4"/>
    <w:rsid w:val="00D95833"/>
    <w:rsid w:val="00E41487"/>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BC1A474B5ABC4F249A7CB652DD922E32">
    <w:name w:val="BC1A474B5ABC4F249A7CB652DD922E32"/>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2AB2528C4A064EE68B9F527B747C8D58">
    <w:name w:val="2AB2528C4A064EE68B9F527B747C8D58"/>
    <w:rsid w:val="007E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8734</TotalTime>
  <Pages>12</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President informed the group that at the next meeting there will be a vote on the inclusion of Tasmania into CERA as a full voting rights member. Please take this back to clubs ang comities for their consideration and approval. Tasmania are a fully affiliated Motorsport Australia Club and an associated incorporation. Feedback about the process from Consumer Affairs Victoria was explained that there would be no need to change the constitution, it is the process of adding a new member.</cp:keywords>
  <dc:description>Bruce Phillips</dc:description>
  <cp:lastModifiedBy>Andrew.R Young</cp:lastModifiedBy>
  <cp:revision>54</cp:revision>
  <dcterms:created xsi:type="dcterms:W3CDTF">2022-05-02T10:16:00Z</dcterms:created>
  <dcterms:modified xsi:type="dcterms:W3CDTF">2022-07-13T10:28:00Z</dcterms:modified>
</cp:coreProperties>
</file>